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11572C">
      <w:pPr>
        <w:keepNext w:val="0"/>
        <w:keepLines w:val="0"/>
        <w:pageBreakBefore w:val="0"/>
        <w:widowControl w:val="0"/>
        <w:tabs>
          <w:tab w:val="right" w:leader="dot" w:pos="6300"/>
        </w:tabs>
        <w:kinsoku/>
        <w:wordWrap/>
        <w:overflowPunct/>
        <w:topLinePunct w:val="0"/>
        <w:autoSpaceDE/>
        <w:autoSpaceDN/>
        <w:bidi w:val="0"/>
        <w:adjustRightInd/>
        <w:snapToGrid/>
        <w:spacing w:line="560" w:lineRule="exact"/>
        <w:jc w:val="center"/>
        <w:textAlignment w:val="auto"/>
        <w:rPr>
          <w:rFonts w:hint="eastAsia" w:ascii="微软雅黑" w:hAnsi="微软雅黑" w:eastAsia="微软雅黑" w:cs="微软雅黑"/>
          <w:color w:val="000000" w:themeColor="text1"/>
          <w:sz w:val="44"/>
          <w:szCs w:val="44"/>
          <w:highlight w:val="none"/>
          <w14:textFill>
            <w14:solidFill>
              <w14:schemeClr w14:val="tx1"/>
            </w14:solidFill>
          </w14:textFill>
        </w:rPr>
      </w:pPr>
      <w:bookmarkStart w:id="0" w:name="_Toc30807"/>
      <w:bookmarkStart w:id="1" w:name="_Toc26116"/>
      <w:bookmarkStart w:id="2" w:name="_Toc17252"/>
    </w:p>
    <w:p w14:paraId="6F306526">
      <w:pPr>
        <w:keepNext w:val="0"/>
        <w:keepLines w:val="0"/>
        <w:pageBreakBefore w:val="0"/>
        <w:widowControl w:val="0"/>
        <w:tabs>
          <w:tab w:val="right" w:leader="dot" w:pos="6300"/>
        </w:tabs>
        <w:kinsoku/>
        <w:wordWrap/>
        <w:overflowPunct/>
        <w:topLinePunct w:val="0"/>
        <w:autoSpaceDE/>
        <w:autoSpaceDN/>
        <w:bidi w:val="0"/>
        <w:adjustRightInd/>
        <w:snapToGrid/>
        <w:spacing w:line="560" w:lineRule="exact"/>
        <w:jc w:val="center"/>
        <w:textAlignment w:val="auto"/>
        <w:rPr>
          <w:rFonts w:hint="eastAsia" w:ascii="微软雅黑" w:hAnsi="微软雅黑" w:eastAsia="微软雅黑" w:cs="微软雅黑"/>
          <w:color w:val="000000" w:themeColor="text1"/>
          <w:sz w:val="44"/>
          <w:szCs w:val="44"/>
          <w:highlight w:val="none"/>
          <w14:textFill>
            <w14:solidFill>
              <w14:schemeClr w14:val="tx1"/>
            </w14:solidFill>
          </w14:textFill>
        </w:rPr>
      </w:pPr>
    </w:p>
    <w:p w14:paraId="15756DC9">
      <w:pPr>
        <w:keepNext w:val="0"/>
        <w:keepLines w:val="0"/>
        <w:pageBreakBefore w:val="0"/>
        <w:widowControl w:val="0"/>
        <w:tabs>
          <w:tab w:val="right" w:leader="dot" w:pos="6300"/>
        </w:tabs>
        <w:kinsoku/>
        <w:wordWrap/>
        <w:overflowPunct/>
        <w:topLinePunct w:val="0"/>
        <w:autoSpaceDE/>
        <w:autoSpaceDN/>
        <w:bidi w:val="0"/>
        <w:adjustRightInd/>
        <w:snapToGrid/>
        <w:spacing w:line="560" w:lineRule="exact"/>
        <w:jc w:val="center"/>
        <w:textAlignment w:val="auto"/>
        <w:rPr>
          <w:rFonts w:hint="eastAsia" w:ascii="微软雅黑" w:hAnsi="微软雅黑" w:eastAsia="微软雅黑" w:cs="微软雅黑"/>
          <w:color w:val="000000" w:themeColor="text1"/>
          <w:sz w:val="44"/>
          <w:szCs w:val="44"/>
          <w:highlight w:val="none"/>
          <w14:textFill>
            <w14:solidFill>
              <w14:schemeClr w14:val="tx1"/>
            </w14:solidFill>
          </w14:textFill>
        </w:rPr>
      </w:pPr>
    </w:p>
    <w:p w14:paraId="565D0136">
      <w:pPr>
        <w:keepNext w:val="0"/>
        <w:keepLines w:val="0"/>
        <w:pageBreakBefore w:val="0"/>
        <w:widowControl w:val="0"/>
        <w:tabs>
          <w:tab w:val="right" w:leader="dot" w:pos="6300"/>
        </w:tabs>
        <w:kinsoku/>
        <w:wordWrap/>
        <w:overflowPunct/>
        <w:topLinePunct w:val="0"/>
        <w:autoSpaceDE/>
        <w:autoSpaceDN/>
        <w:bidi w:val="0"/>
        <w:adjustRightInd/>
        <w:snapToGrid/>
        <w:spacing w:line="560" w:lineRule="exact"/>
        <w:jc w:val="center"/>
        <w:textAlignment w:val="auto"/>
        <w:rPr>
          <w:rFonts w:hint="eastAsia" w:ascii="微软雅黑" w:hAnsi="微软雅黑" w:eastAsia="微软雅黑" w:cs="微软雅黑"/>
          <w:color w:val="000000" w:themeColor="text1"/>
          <w:sz w:val="44"/>
          <w:szCs w:val="44"/>
          <w:highlight w:val="none"/>
          <w14:textFill>
            <w14:solidFill>
              <w14:schemeClr w14:val="tx1"/>
            </w14:solidFill>
          </w14:textFill>
        </w:rPr>
      </w:pPr>
    </w:p>
    <w:p w14:paraId="0A2B280A">
      <w:pPr>
        <w:keepNext w:val="0"/>
        <w:keepLines w:val="0"/>
        <w:pageBreakBefore w:val="0"/>
        <w:widowControl w:val="0"/>
        <w:tabs>
          <w:tab w:val="right" w:leader="dot" w:pos="6300"/>
        </w:tabs>
        <w:kinsoku/>
        <w:wordWrap/>
        <w:overflowPunct/>
        <w:topLinePunct w:val="0"/>
        <w:autoSpaceDE/>
        <w:autoSpaceDN/>
        <w:bidi w:val="0"/>
        <w:adjustRightInd/>
        <w:snapToGrid/>
        <w:spacing w:line="560" w:lineRule="exact"/>
        <w:jc w:val="center"/>
        <w:textAlignment w:val="auto"/>
        <w:rPr>
          <w:rFonts w:hint="eastAsia" w:ascii="微软雅黑" w:hAnsi="微软雅黑" w:eastAsia="微软雅黑" w:cs="微软雅黑"/>
          <w:color w:val="000000" w:themeColor="text1"/>
          <w:sz w:val="44"/>
          <w:szCs w:val="44"/>
          <w:highlight w:val="none"/>
          <w14:textFill>
            <w14:solidFill>
              <w14:schemeClr w14:val="tx1"/>
            </w14:solidFill>
          </w14:textFill>
        </w:rPr>
      </w:pPr>
    </w:p>
    <w:p w14:paraId="4A341EE0">
      <w:pPr>
        <w:keepNext w:val="0"/>
        <w:keepLines w:val="0"/>
        <w:pageBreakBefore w:val="0"/>
        <w:widowControl w:val="0"/>
        <w:tabs>
          <w:tab w:val="right" w:leader="dot" w:pos="6300"/>
        </w:tabs>
        <w:kinsoku/>
        <w:wordWrap/>
        <w:overflowPunct/>
        <w:topLinePunct w:val="0"/>
        <w:autoSpaceDE/>
        <w:autoSpaceDN/>
        <w:bidi w:val="0"/>
        <w:adjustRightInd/>
        <w:snapToGrid/>
        <w:spacing w:line="720" w:lineRule="exact"/>
        <w:jc w:val="center"/>
        <w:textAlignment w:val="auto"/>
        <w:rPr>
          <w:rFonts w:hint="eastAsia" w:ascii="微软雅黑" w:hAnsi="微软雅黑" w:eastAsia="微软雅黑" w:cs="微软雅黑"/>
          <w:color w:val="000000" w:themeColor="text1"/>
          <w:sz w:val="44"/>
          <w:szCs w:val="44"/>
          <w:highlight w:val="none"/>
          <w14:textFill>
            <w14:solidFill>
              <w14:schemeClr w14:val="tx1"/>
            </w14:solidFill>
          </w14:textFill>
        </w:rPr>
      </w:pPr>
      <w:r>
        <w:rPr>
          <w:rFonts w:hint="eastAsia" w:ascii="微软雅黑" w:hAnsi="微软雅黑" w:eastAsia="微软雅黑" w:cs="微软雅黑"/>
          <w:color w:val="000000" w:themeColor="text1"/>
          <w:sz w:val="44"/>
          <w:szCs w:val="44"/>
          <w:highlight w:val="none"/>
          <w14:textFill>
            <w14:solidFill>
              <w14:schemeClr w14:val="tx1"/>
            </w14:solidFill>
          </w14:textFill>
        </w:rPr>
        <w:t>黄石新港（物流）工业园区</w:t>
      </w:r>
    </w:p>
    <w:p w14:paraId="28005F77">
      <w:pPr>
        <w:keepNext w:val="0"/>
        <w:keepLines w:val="0"/>
        <w:pageBreakBefore w:val="0"/>
        <w:widowControl w:val="0"/>
        <w:tabs>
          <w:tab w:val="right" w:leader="dot" w:pos="6300"/>
        </w:tabs>
        <w:kinsoku/>
        <w:wordWrap/>
        <w:overflowPunct/>
        <w:topLinePunct w:val="0"/>
        <w:autoSpaceDE/>
        <w:autoSpaceDN/>
        <w:bidi w:val="0"/>
        <w:adjustRightInd/>
        <w:snapToGrid/>
        <w:spacing w:line="720" w:lineRule="exact"/>
        <w:jc w:val="center"/>
        <w:textAlignment w:val="auto"/>
        <w:rPr>
          <w:rFonts w:hint="eastAsia" w:ascii="微软雅黑" w:hAnsi="微软雅黑" w:eastAsia="微软雅黑" w:cs="微软雅黑"/>
          <w:color w:val="000000" w:themeColor="text1"/>
          <w:sz w:val="44"/>
          <w:szCs w:val="44"/>
          <w:highlight w:val="none"/>
          <w14:textFill>
            <w14:solidFill>
              <w14:schemeClr w14:val="tx1"/>
            </w14:solidFill>
          </w14:textFill>
        </w:rPr>
      </w:pPr>
      <w:r>
        <w:rPr>
          <w:rFonts w:hint="eastAsia" w:ascii="微软雅黑" w:hAnsi="微软雅黑" w:eastAsia="微软雅黑" w:cs="微软雅黑"/>
          <w:color w:val="000000" w:themeColor="text1"/>
          <w:sz w:val="44"/>
          <w:szCs w:val="44"/>
          <w:highlight w:val="none"/>
          <w14:textFill>
            <w14:solidFill>
              <w14:schemeClr w14:val="tx1"/>
            </w14:solidFill>
          </w14:textFill>
        </w:rPr>
        <w:t>“十五五”港产城融合发展规划</w:t>
      </w:r>
    </w:p>
    <w:p w14:paraId="76EDB2B0">
      <w:pPr>
        <w:keepNext w:val="0"/>
        <w:keepLines w:val="0"/>
        <w:pageBreakBefore w:val="0"/>
        <w:widowControl w:val="0"/>
        <w:tabs>
          <w:tab w:val="right" w:leader="dot" w:pos="6300"/>
        </w:tabs>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highlight w:val="none"/>
          <w:lang w:val="en-US" w:eastAsia="zh-CN"/>
          <w14:textFill>
            <w14:solidFill>
              <w14:schemeClr w14:val="tx1"/>
            </w14:solidFill>
          </w14:textFill>
        </w:rPr>
        <w:t>（征求意见</w:t>
      </w:r>
      <w:bookmarkStart w:id="243" w:name="_GoBack"/>
      <w:bookmarkEnd w:id="243"/>
      <w:r>
        <w:rPr>
          <w:rFonts w:hint="eastAsia" w:ascii="楷体_GB2312" w:hAnsi="楷体_GB2312" w:eastAsia="楷体_GB2312" w:cs="楷体_GB2312"/>
          <w:color w:val="000000" w:themeColor="text1"/>
          <w:sz w:val="32"/>
          <w:szCs w:val="32"/>
          <w:highlight w:val="none"/>
          <w:lang w:val="en-US" w:eastAsia="zh-CN"/>
          <w14:textFill>
            <w14:solidFill>
              <w14:schemeClr w14:val="tx1"/>
            </w14:solidFill>
          </w14:textFill>
        </w:rPr>
        <w:t>稿）</w:t>
      </w:r>
    </w:p>
    <w:p w14:paraId="577AD17B">
      <w:pPr>
        <w:pageBreakBefore w:val="0"/>
        <w:tabs>
          <w:tab w:val="right" w:leader="dot" w:pos="6300"/>
        </w:tabs>
        <w:kinsoku/>
        <w:wordWrap/>
        <w:overflowPunct/>
        <w:topLinePunct w:val="0"/>
        <w:autoSpaceDE/>
        <w:autoSpaceDN/>
        <w:bidi w:val="0"/>
        <w:spacing w:before="0" w:beforeLines="0" w:after="0" w:afterLines="0" w:line="240" w:lineRule="auto"/>
        <w:ind w:left="0" w:leftChars="0" w:right="0" w:rightChars="0" w:firstLine="0" w:firstLineChars="0"/>
        <w:jc w:val="center"/>
        <w:rPr>
          <w:rFonts w:ascii="宋体" w:hAnsi="宋体" w:eastAsia="宋体" w:cs="Times New Roman"/>
          <w:color w:val="000000" w:themeColor="text1"/>
          <w:kern w:val="2"/>
          <w:sz w:val="21"/>
          <w:szCs w:val="24"/>
          <w:highlight w:val="none"/>
          <w:lang w:val="en-US" w:eastAsia="zh-CN" w:bidi="ar-SA"/>
          <w14:textFill>
            <w14:solidFill>
              <w14:schemeClr w14:val="tx1"/>
            </w14:solidFill>
          </w14:textFill>
        </w:rPr>
      </w:pPr>
    </w:p>
    <w:p w14:paraId="5DB4CBAC">
      <w:pPr>
        <w:pageBreakBefore w:val="0"/>
        <w:tabs>
          <w:tab w:val="right" w:leader="dot" w:pos="6300"/>
        </w:tabs>
        <w:kinsoku/>
        <w:wordWrap/>
        <w:overflowPunct/>
        <w:topLinePunct w:val="0"/>
        <w:autoSpaceDE/>
        <w:autoSpaceDN/>
        <w:bidi w:val="0"/>
        <w:spacing w:before="0" w:beforeLines="0" w:after="0" w:afterLines="0" w:line="240" w:lineRule="auto"/>
        <w:ind w:left="0" w:leftChars="0" w:right="0" w:rightChars="0" w:firstLine="0" w:firstLineChars="0"/>
        <w:jc w:val="center"/>
        <w:rPr>
          <w:rFonts w:ascii="宋体" w:hAnsi="宋体" w:eastAsia="宋体" w:cs="Times New Roman"/>
          <w:color w:val="000000" w:themeColor="text1"/>
          <w:kern w:val="2"/>
          <w:sz w:val="21"/>
          <w:szCs w:val="24"/>
          <w:highlight w:val="none"/>
          <w:lang w:val="en-US" w:eastAsia="zh-CN" w:bidi="ar-SA"/>
          <w14:textFill>
            <w14:solidFill>
              <w14:schemeClr w14:val="tx1"/>
            </w14:solidFill>
          </w14:textFill>
        </w:rPr>
      </w:pPr>
    </w:p>
    <w:p w14:paraId="52397EED">
      <w:pPr>
        <w:pageBreakBefore w:val="0"/>
        <w:tabs>
          <w:tab w:val="right" w:leader="dot" w:pos="6300"/>
        </w:tabs>
        <w:kinsoku/>
        <w:wordWrap/>
        <w:overflowPunct/>
        <w:topLinePunct w:val="0"/>
        <w:autoSpaceDE/>
        <w:autoSpaceDN/>
        <w:bidi w:val="0"/>
        <w:spacing w:before="0" w:beforeLines="0" w:after="0" w:afterLines="0" w:line="240" w:lineRule="auto"/>
        <w:ind w:left="0" w:leftChars="0" w:right="0" w:rightChars="0" w:firstLine="0" w:firstLineChars="0"/>
        <w:jc w:val="center"/>
        <w:rPr>
          <w:rFonts w:ascii="宋体" w:hAnsi="宋体" w:eastAsia="宋体" w:cs="Times New Roman"/>
          <w:color w:val="000000" w:themeColor="text1"/>
          <w:kern w:val="2"/>
          <w:sz w:val="21"/>
          <w:szCs w:val="24"/>
          <w:highlight w:val="none"/>
          <w:lang w:val="en-US" w:eastAsia="zh-CN" w:bidi="ar-SA"/>
          <w14:textFill>
            <w14:solidFill>
              <w14:schemeClr w14:val="tx1"/>
            </w14:solidFill>
          </w14:textFill>
        </w:rPr>
      </w:pPr>
    </w:p>
    <w:p w14:paraId="1CFB7440">
      <w:pPr>
        <w:pageBreakBefore w:val="0"/>
        <w:tabs>
          <w:tab w:val="right" w:leader="dot" w:pos="6300"/>
        </w:tabs>
        <w:kinsoku/>
        <w:wordWrap/>
        <w:overflowPunct/>
        <w:topLinePunct w:val="0"/>
        <w:autoSpaceDE/>
        <w:autoSpaceDN/>
        <w:bidi w:val="0"/>
        <w:spacing w:before="0" w:beforeLines="0" w:after="0" w:afterLines="0" w:line="240" w:lineRule="auto"/>
        <w:ind w:left="0" w:leftChars="0" w:right="0" w:rightChars="0" w:firstLine="0" w:firstLineChars="0"/>
        <w:jc w:val="center"/>
        <w:rPr>
          <w:rFonts w:ascii="宋体" w:hAnsi="宋体" w:eastAsia="宋体" w:cs="Times New Roman"/>
          <w:color w:val="000000" w:themeColor="text1"/>
          <w:kern w:val="2"/>
          <w:sz w:val="21"/>
          <w:szCs w:val="24"/>
          <w:highlight w:val="none"/>
          <w:lang w:val="en-US" w:eastAsia="zh-CN" w:bidi="ar-SA"/>
          <w14:textFill>
            <w14:solidFill>
              <w14:schemeClr w14:val="tx1"/>
            </w14:solidFill>
          </w14:textFill>
        </w:rPr>
      </w:pPr>
    </w:p>
    <w:p w14:paraId="43833EC4">
      <w:pPr>
        <w:pageBreakBefore w:val="0"/>
        <w:tabs>
          <w:tab w:val="right" w:leader="dot" w:pos="6300"/>
        </w:tabs>
        <w:kinsoku/>
        <w:wordWrap/>
        <w:overflowPunct/>
        <w:topLinePunct w:val="0"/>
        <w:autoSpaceDE/>
        <w:autoSpaceDN/>
        <w:bidi w:val="0"/>
        <w:spacing w:before="0" w:beforeLines="0" w:after="0" w:afterLines="0" w:line="240" w:lineRule="auto"/>
        <w:ind w:left="0" w:leftChars="0" w:right="0" w:rightChars="0" w:firstLine="0" w:firstLineChars="0"/>
        <w:jc w:val="center"/>
        <w:rPr>
          <w:rFonts w:ascii="宋体" w:hAnsi="宋体" w:eastAsia="宋体" w:cs="Times New Roman"/>
          <w:color w:val="000000" w:themeColor="text1"/>
          <w:kern w:val="2"/>
          <w:sz w:val="21"/>
          <w:szCs w:val="24"/>
          <w:highlight w:val="none"/>
          <w:lang w:val="en-US" w:eastAsia="zh-CN" w:bidi="ar-SA"/>
          <w14:textFill>
            <w14:solidFill>
              <w14:schemeClr w14:val="tx1"/>
            </w14:solidFill>
          </w14:textFill>
        </w:rPr>
      </w:pPr>
    </w:p>
    <w:p w14:paraId="1E022B87">
      <w:pPr>
        <w:pageBreakBefore w:val="0"/>
        <w:tabs>
          <w:tab w:val="right" w:leader="dot" w:pos="6300"/>
        </w:tabs>
        <w:kinsoku/>
        <w:wordWrap/>
        <w:overflowPunct/>
        <w:topLinePunct w:val="0"/>
        <w:autoSpaceDE/>
        <w:autoSpaceDN/>
        <w:bidi w:val="0"/>
        <w:spacing w:before="0" w:beforeLines="0" w:after="0" w:afterLines="0" w:line="240" w:lineRule="auto"/>
        <w:ind w:left="0" w:leftChars="0" w:right="0" w:rightChars="0" w:firstLine="0" w:firstLineChars="0"/>
        <w:jc w:val="center"/>
        <w:rPr>
          <w:rFonts w:ascii="宋体" w:hAnsi="宋体" w:eastAsia="宋体" w:cs="Times New Roman"/>
          <w:color w:val="000000" w:themeColor="text1"/>
          <w:kern w:val="2"/>
          <w:sz w:val="21"/>
          <w:szCs w:val="24"/>
          <w:highlight w:val="none"/>
          <w:lang w:val="en-US" w:eastAsia="zh-CN" w:bidi="ar-SA"/>
          <w14:textFill>
            <w14:solidFill>
              <w14:schemeClr w14:val="tx1"/>
            </w14:solidFill>
          </w14:textFill>
        </w:rPr>
      </w:pPr>
    </w:p>
    <w:p w14:paraId="3229FD77">
      <w:pPr>
        <w:pageBreakBefore w:val="0"/>
        <w:tabs>
          <w:tab w:val="right" w:leader="dot" w:pos="6300"/>
        </w:tabs>
        <w:kinsoku/>
        <w:wordWrap/>
        <w:overflowPunct/>
        <w:topLinePunct w:val="0"/>
        <w:autoSpaceDE/>
        <w:autoSpaceDN/>
        <w:bidi w:val="0"/>
        <w:spacing w:before="0" w:beforeLines="0" w:after="0" w:afterLines="0" w:line="240" w:lineRule="auto"/>
        <w:ind w:left="0" w:leftChars="0" w:right="0" w:rightChars="0" w:firstLine="0" w:firstLineChars="0"/>
        <w:jc w:val="center"/>
        <w:rPr>
          <w:rFonts w:ascii="宋体" w:hAnsi="宋体" w:eastAsia="宋体" w:cs="Times New Roman"/>
          <w:color w:val="000000" w:themeColor="text1"/>
          <w:kern w:val="2"/>
          <w:sz w:val="21"/>
          <w:szCs w:val="24"/>
          <w:highlight w:val="none"/>
          <w:lang w:val="en-US" w:eastAsia="zh-CN" w:bidi="ar-SA"/>
          <w14:textFill>
            <w14:solidFill>
              <w14:schemeClr w14:val="tx1"/>
            </w14:solidFill>
          </w14:textFill>
        </w:rPr>
      </w:pPr>
    </w:p>
    <w:p w14:paraId="40145F48">
      <w:pPr>
        <w:pageBreakBefore w:val="0"/>
        <w:tabs>
          <w:tab w:val="right" w:leader="dot" w:pos="6300"/>
        </w:tabs>
        <w:kinsoku/>
        <w:wordWrap/>
        <w:overflowPunct/>
        <w:topLinePunct w:val="0"/>
        <w:autoSpaceDE/>
        <w:autoSpaceDN/>
        <w:bidi w:val="0"/>
        <w:spacing w:before="0" w:beforeLines="0" w:after="0" w:afterLines="0" w:line="240" w:lineRule="auto"/>
        <w:ind w:left="0" w:leftChars="0" w:right="0" w:rightChars="0" w:firstLine="0" w:firstLineChars="0"/>
        <w:jc w:val="center"/>
        <w:rPr>
          <w:rFonts w:ascii="宋体" w:hAnsi="宋体" w:eastAsia="宋体" w:cs="Times New Roman"/>
          <w:color w:val="000000" w:themeColor="text1"/>
          <w:kern w:val="2"/>
          <w:sz w:val="21"/>
          <w:szCs w:val="24"/>
          <w:highlight w:val="none"/>
          <w:lang w:val="en-US" w:eastAsia="zh-CN" w:bidi="ar-SA"/>
          <w14:textFill>
            <w14:solidFill>
              <w14:schemeClr w14:val="tx1"/>
            </w14:solidFill>
          </w14:textFill>
        </w:rPr>
      </w:pPr>
    </w:p>
    <w:p w14:paraId="3D36E6A3">
      <w:pPr>
        <w:pageBreakBefore w:val="0"/>
        <w:tabs>
          <w:tab w:val="right" w:leader="dot" w:pos="6300"/>
        </w:tabs>
        <w:kinsoku/>
        <w:wordWrap/>
        <w:overflowPunct/>
        <w:topLinePunct w:val="0"/>
        <w:autoSpaceDE/>
        <w:autoSpaceDN/>
        <w:bidi w:val="0"/>
        <w:spacing w:before="0" w:beforeLines="0" w:after="0" w:afterLines="0" w:line="240" w:lineRule="auto"/>
        <w:ind w:left="0" w:leftChars="0" w:right="0" w:rightChars="0" w:firstLine="0" w:firstLineChars="0"/>
        <w:jc w:val="center"/>
        <w:rPr>
          <w:rFonts w:ascii="宋体" w:hAnsi="宋体" w:eastAsia="宋体" w:cs="Times New Roman"/>
          <w:color w:val="000000" w:themeColor="text1"/>
          <w:kern w:val="2"/>
          <w:sz w:val="21"/>
          <w:szCs w:val="24"/>
          <w:highlight w:val="none"/>
          <w:lang w:val="en-US" w:eastAsia="zh-CN" w:bidi="ar-SA"/>
          <w14:textFill>
            <w14:solidFill>
              <w14:schemeClr w14:val="tx1"/>
            </w14:solidFill>
          </w14:textFill>
        </w:rPr>
      </w:pPr>
    </w:p>
    <w:p w14:paraId="27113200">
      <w:pPr>
        <w:pageBreakBefore w:val="0"/>
        <w:tabs>
          <w:tab w:val="right" w:leader="dot" w:pos="6300"/>
        </w:tabs>
        <w:kinsoku/>
        <w:wordWrap/>
        <w:overflowPunct/>
        <w:topLinePunct w:val="0"/>
        <w:autoSpaceDE/>
        <w:autoSpaceDN/>
        <w:bidi w:val="0"/>
        <w:spacing w:before="0" w:beforeLines="0" w:after="0" w:afterLines="0" w:line="240" w:lineRule="auto"/>
        <w:ind w:left="0" w:leftChars="0" w:right="0" w:rightChars="0" w:firstLine="0" w:firstLineChars="0"/>
        <w:jc w:val="center"/>
        <w:rPr>
          <w:rFonts w:ascii="宋体" w:hAnsi="宋体" w:eastAsia="宋体" w:cs="Times New Roman"/>
          <w:color w:val="000000" w:themeColor="text1"/>
          <w:kern w:val="2"/>
          <w:sz w:val="21"/>
          <w:szCs w:val="24"/>
          <w:highlight w:val="none"/>
          <w:lang w:val="en-US" w:eastAsia="zh-CN" w:bidi="ar-SA"/>
          <w14:textFill>
            <w14:solidFill>
              <w14:schemeClr w14:val="tx1"/>
            </w14:solidFill>
          </w14:textFill>
        </w:rPr>
      </w:pPr>
    </w:p>
    <w:p w14:paraId="5B2D34BA">
      <w:pPr>
        <w:pageBreakBefore w:val="0"/>
        <w:tabs>
          <w:tab w:val="right" w:leader="dot" w:pos="6300"/>
        </w:tabs>
        <w:kinsoku/>
        <w:wordWrap/>
        <w:overflowPunct/>
        <w:topLinePunct w:val="0"/>
        <w:autoSpaceDE/>
        <w:autoSpaceDN/>
        <w:bidi w:val="0"/>
        <w:spacing w:before="0" w:beforeLines="0" w:after="0" w:afterLines="0" w:line="240" w:lineRule="auto"/>
        <w:ind w:left="0" w:leftChars="0" w:right="0" w:rightChars="0" w:firstLine="0" w:firstLineChars="0"/>
        <w:jc w:val="center"/>
        <w:rPr>
          <w:rFonts w:ascii="宋体" w:hAnsi="宋体" w:eastAsia="宋体" w:cs="Times New Roman"/>
          <w:color w:val="000000" w:themeColor="text1"/>
          <w:kern w:val="2"/>
          <w:sz w:val="21"/>
          <w:szCs w:val="24"/>
          <w:highlight w:val="none"/>
          <w:lang w:val="en-US" w:eastAsia="zh-CN" w:bidi="ar-SA"/>
          <w14:textFill>
            <w14:solidFill>
              <w14:schemeClr w14:val="tx1"/>
            </w14:solidFill>
          </w14:textFill>
        </w:rPr>
      </w:pPr>
    </w:p>
    <w:p w14:paraId="6C078D78">
      <w:pPr>
        <w:pageBreakBefore w:val="0"/>
        <w:tabs>
          <w:tab w:val="right" w:leader="dot" w:pos="6300"/>
        </w:tabs>
        <w:kinsoku/>
        <w:wordWrap/>
        <w:overflowPunct/>
        <w:topLinePunct w:val="0"/>
        <w:autoSpaceDE/>
        <w:autoSpaceDN/>
        <w:bidi w:val="0"/>
        <w:spacing w:before="0" w:beforeLines="0" w:after="0" w:afterLines="0" w:line="240" w:lineRule="auto"/>
        <w:ind w:left="0" w:leftChars="0" w:right="0" w:rightChars="0" w:firstLine="0" w:firstLineChars="0"/>
        <w:jc w:val="center"/>
        <w:rPr>
          <w:rFonts w:ascii="宋体" w:hAnsi="宋体" w:eastAsia="宋体" w:cs="Times New Roman"/>
          <w:color w:val="000000" w:themeColor="text1"/>
          <w:kern w:val="2"/>
          <w:sz w:val="21"/>
          <w:szCs w:val="24"/>
          <w:highlight w:val="none"/>
          <w:lang w:val="en-US" w:eastAsia="zh-CN" w:bidi="ar-SA"/>
          <w14:textFill>
            <w14:solidFill>
              <w14:schemeClr w14:val="tx1"/>
            </w14:solidFill>
          </w14:textFill>
        </w:rPr>
      </w:pPr>
    </w:p>
    <w:p w14:paraId="476D1E8F">
      <w:pPr>
        <w:pageBreakBefore w:val="0"/>
        <w:tabs>
          <w:tab w:val="right" w:leader="dot" w:pos="6300"/>
        </w:tabs>
        <w:kinsoku/>
        <w:wordWrap/>
        <w:overflowPunct/>
        <w:topLinePunct w:val="0"/>
        <w:autoSpaceDE/>
        <w:autoSpaceDN/>
        <w:bidi w:val="0"/>
        <w:spacing w:before="0" w:beforeLines="0" w:after="0" w:afterLines="0" w:line="240" w:lineRule="auto"/>
        <w:ind w:left="0" w:leftChars="0" w:right="0" w:rightChars="0" w:firstLine="0" w:firstLineChars="0"/>
        <w:jc w:val="center"/>
        <w:rPr>
          <w:rFonts w:ascii="宋体" w:hAnsi="宋体" w:eastAsia="宋体" w:cs="Times New Roman"/>
          <w:color w:val="000000" w:themeColor="text1"/>
          <w:kern w:val="2"/>
          <w:sz w:val="21"/>
          <w:szCs w:val="24"/>
          <w:highlight w:val="none"/>
          <w:lang w:val="en-US" w:eastAsia="zh-CN" w:bidi="ar-SA"/>
          <w14:textFill>
            <w14:solidFill>
              <w14:schemeClr w14:val="tx1"/>
            </w14:solidFill>
          </w14:textFill>
        </w:rPr>
      </w:pPr>
    </w:p>
    <w:p w14:paraId="631ECB0E">
      <w:pPr>
        <w:pageBreakBefore w:val="0"/>
        <w:tabs>
          <w:tab w:val="right" w:leader="dot" w:pos="6300"/>
        </w:tabs>
        <w:kinsoku/>
        <w:wordWrap/>
        <w:overflowPunct/>
        <w:topLinePunct w:val="0"/>
        <w:autoSpaceDE/>
        <w:autoSpaceDN/>
        <w:bidi w:val="0"/>
        <w:spacing w:before="0" w:beforeLines="0" w:after="0" w:afterLines="0" w:line="240" w:lineRule="auto"/>
        <w:ind w:left="0" w:leftChars="0" w:right="0" w:rightChars="0" w:firstLine="0" w:firstLineChars="0"/>
        <w:jc w:val="center"/>
        <w:rPr>
          <w:rFonts w:ascii="宋体" w:hAnsi="宋体" w:eastAsia="宋体" w:cs="Times New Roman"/>
          <w:color w:val="000000" w:themeColor="text1"/>
          <w:kern w:val="2"/>
          <w:sz w:val="21"/>
          <w:szCs w:val="24"/>
          <w:highlight w:val="none"/>
          <w:lang w:val="en-US" w:eastAsia="zh-CN" w:bidi="ar-SA"/>
          <w14:textFill>
            <w14:solidFill>
              <w14:schemeClr w14:val="tx1"/>
            </w14:solidFill>
          </w14:textFill>
        </w:rPr>
      </w:pPr>
    </w:p>
    <w:p w14:paraId="52BEDAE0">
      <w:pPr>
        <w:keepNext w:val="0"/>
        <w:keepLines w:val="0"/>
        <w:pageBreakBefore w:val="0"/>
        <w:widowControl w:val="0"/>
        <w:tabs>
          <w:tab w:val="right" w:leader="dot" w:pos="6300"/>
        </w:tabs>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rPr>
          <w:rFonts w:ascii="宋体" w:hAnsi="宋体" w:eastAsia="宋体" w:cs="Times New Roman"/>
          <w:color w:val="000000" w:themeColor="text1"/>
          <w:kern w:val="2"/>
          <w:sz w:val="34"/>
          <w:szCs w:val="34"/>
          <w:highlight w:val="none"/>
          <w:lang w:val="en-US" w:eastAsia="zh-CN" w:bidi="ar-SA"/>
          <w14:textFill>
            <w14:solidFill>
              <w14:schemeClr w14:val="tx1"/>
            </w14:solidFill>
          </w14:textFill>
        </w:rPr>
      </w:pPr>
    </w:p>
    <w:p w14:paraId="2BD6C70F">
      <w:pPr>
        <w:pageBreakBefore w:val="0"/>
        <w:tabs>
          <w:tab w:val="right" w:leader="dot" w:pos="6300"/>
        </w:tabs>
        <w:kinsoku/>
        <w:wordWrap/>
        <w:overflowPunct/>
        <w:topLinePunct w:val="0"/>
        <w:autoSpaceDE/>
        <w:autoSpaceDN/>
        <w:bidi w:val="0"/>
        <w:spacing w:before="0" w:beforeLines="0" w:after="0" w:afterLines="0" w:line="240" w:lineRule="auto"/>
        <w:ind w:left="0" w:leftChars="0" w:right="0" w:rightChars="0" w:firstLine="0" w:firstLineChars="0"/>
        <w:jc w:val="center"/>
        <w:rPr>
          <w:rFonts w:hint="eastAsia" w:ascii="楷体_GB2312" w:hAnsi="楷体_GB2312" w:eastAsia="楷体_GB2312" w:cs="楷体_GB2312"/>
          <w:b w:val="0"/>
          <w:bCs w:val="0"/>
          <w:color w:val="000000" w:themeColor="text1"/>
          <w:sz w:val="34"/>
          <w:szCs w:val="34"/>
          <w:highlight w:val="none"/>
          <w14:textFill>
            <w14:solidFill>
              <w14:schemeClr w14:val="tx1"/>
            </w14:solidFill>
          </w14:textFill>
        </w:rPr>
      </w:pPr>
      <w:r>
        <w:rPr>
          <w:rFonts w:hint="eastAsia" w:ascii="楷体_GB2312" w:hAnsi="楷体_GB2312" w:eastAsia="楷体_GB2312" w:cs="楷体_GB2312"/>
          <w:b w:val="0"/>
          <w:bCs w:val="0"/>
          <w:color w:val="000000" w:themeColor="text1"/>
          <w:sz w:val="34"/>
          <w:szCs w:val="34"/>
          <w:highlight w:val="none"/>
          <w14:textFill>
            <w14:solidFill>
              <w14:schemeClr w14:val="tx1"/>
            </w14:solidFill>
          </w14:textFill>
        </w:rPr>
        <w:t>黄石新港（物流）工业园区</w:t>
      </w:r>
    </w:p>
    <w:p w14:paraId="063A211C">
      <w:pPr>
        <w:pageBreakBefore w:val="0"/>
        <w:tabs>
          <w:tab w:val="right" w:leader="dot" w:pos="6300"/>
        </w:tabs>
        <w:kinsoku/>
        <w:wordWrap/>
        <w:overflowPunct/>
        <w:topLinePunct w:val="0"/>
        <w:autoSpaceDE/>
        <w:autoSpaceDN/>
        <w:bidi w:val="0"/>
        <w:spacing w:before="0" w:beforeLines="0" w:afterLines="0" w:line="240" w:lineRule="auto"/>
        <w:ind w:left="0" w:leftChars="0" w:right="0" w:rightChars="0" w:firstLine="0" w:firstLineChars="0"/>
        <w:jc w:val="center"/>
        <w:rPr>
          <w:rFonts w:ascii="宋体" w:hAnsi="宋体" w:eastAsia="宋体" w:cs="Times New Roman"/>
          <w:color w:val="000000" w:themeColor="text1"/>
          <w:kern w:val="2"/>
          <w:sz w:val="34"/>
          <w:szCs w:val="34"/>
          <w:highlight w:val="none"/>
          <w:lang w:val="en-US" w:eastAsia="zh-CN" w:bidi="ar-SA"/>
          <w14:textFill>
            <w14:solidFill>
              <w14:schemeClr w14:val="tx1"/>
            </w14:solidFill>
          </w14:textFill>
        </w:rPr>
        <w:sectPr>
          <w:pgSz w:w="11906" w:h="16838"/>
          <w:pgMar w:top="1814" w:right="1531" w:bottom="1701" w:left="1531" w:header="851" w:footer="992" w:gutter="0"/>
          <w:pgNumType w:fmt="numberInDash"/>
          <w:cols w:space="0" w:num="1"/>
          <w:rtlGutter w:val="0"/>
          <w:docGrid w:type="lines" w:linePitch="312" w:charSpace="0"/>
        </w:sectPr>
      </w:pPr>
      <w:r>
        <w:rPr>
          <w:rFonts w:hint="default" w:ascii="Times New Roman" w:hAnsi="Times New Roman" w:eastAsia="宋体" w:cs="Times New Roman"/>
          <w:b w:val="0"/>
          <w:bCs w:val="0"/>
          <w:color w:val="000000" w:themeColor="text1"/>
          <w:sz w:val="34"/>
          <w:szCs w:val="34"/>
          <w:highlight w:val="none"/>
          <w14:textFill>
            <w14:solidFill>
              <w14:schemeClr w14:val="tx1"/>
            </w14:solidFill>
          </w14:textFill>
        </w:rPr>
        <w:t>202</w:t>
      </w:r>
      <w:r>
        <w:rPr>
          <w:rFonts w:hint="eastAsia" w:ascii="Times New Roman" w:hAnsi="Times New Roman" w:eastAsia="宋体" w:cs="Times New Roman"/>
          <w:b w:val="0"/>
          <w:bCs w:val="0"/>
          <w:color w:val="000000" w:themeColor="text1"/>
          <w:sz w:val="34"/>
          <w:szCs w:val="34"/>
          <w:highlight w:val="none"/>
          <w:lang w:val="en-US" w:eastAsia="zh-CN"/>
          <w14:textFill>
            <w14:solidFill>
              <w14:schemeClr w14:val="tx1"/>
            </w14:solidFill>
          </w14:textFill>
        </w:rPr>
        <w:t>6</w:t>
      </w:r>
      <w:r>
        <w:rPr>
          <w:rFonts w:hint="eastAsia" w:ascii="楷体_GB2312" w:hAnsi="楷体_GB2312" w:eastAsia="楷体_GB2312" w:cs="楷体_GB2312"/>
          <w:b w:val="0"/>
          <w:bCs w:val="0"/>
          <w:color w:val="000000" w:themeColor="text1"/>
          <w:sz w:val="34"/>
          <w:szCs w:val="34"/>
          <w:highlight w:val="none"/>
          <w14:textFill>
            <w14:solidFill>
              <w14:schemeClr w14:val="tx1"/>
            </w14:solidFill>
          </w14:textFill>
        </w:rPr>
        <w:t>年</w:t>
      </w:r>
      <w:r>
        <w:rPr>
          <w:rFonts w:hint="eastAsia" w:ascii="Times New Roman" w:hAnsi="Times New Roman" w:eastAsia="宋体" w:cs="Times New Roman"/>
          <w:b w:val="0"/>
          <w:bCs w:val="0"/>
          <w:color w:val="000000" w:themeColor="text1"/>
          <w:sz w:val="34"/>
          <w:szCs w:val="34"/>
          <w:highlight w:val="none"/>
          <w:lang w:val="en-US" w:eastAsia="zh-CN"/>
          <w14:textFill>
            <w14:solidFill>
              <w14:schemeClr w14:val="tx1"/>
            </w14:solidFill>
          </w14:textFill>
        </w:rPr>
        <w:t>9</w:t>
      </w:r>
      <w:r>
        <w:rPr>
          <w:rFonts w:hint="eastAsia" w:ascii="楷体_GB2312" w:hAnsi="楷体_GB2312" w:eastAsia="楷体_GB2312" w:cs="楷体_GB2312"/>
          <w:b w:val="0"/>
          <w:bCs w:val="0"/>
          <w:color w:val="000000" w:themeColor="text1"/>
          <w:sz w:val="34"/>
          <w:szCs w:val="34"/>
          <w:highlight w:val="none"/>
          <w14:textFill>
            <w14:solidFill>
              <w14:schemeClr w14:val="tx1"/>
            </w14:solidFill>
          </w14:textFill>
        </w:rPr>
        <w:t>月</w:t>
      </w:r>
    </w:p>
    <w:p w14:paraId="53D14C38">
      <w:pPr>
        <w:keepNext w:val="0"/>
        <w:keepLines w:val="0"/>
        <w:pageBreakBefore w:val="0"/>
        <w:widowControl w:val="0"/>
        <w:tabs>
          <w:tab w:val="right" w:leader="dot" w:pos="6300"/>
        </w:tabs>
        <w:kinsoku/>
        <w:wordWrap/>
        <w:overflowPunct/>
        <w:topLinePunct w:val="0"/>
        <w:autoSpaceDE/>
        <w:autoSpaceDN/>
        <w:bidi w:val="0"/>
        <w:adjustRightInd/>
        <w:snapToGrid/>
        <w:spacing w:line="560" w:lineRule="exact"/>
        <w:jc w:val="center"/>
        <w:textAlignment w:val="auto"/>
        <w:rPr>
          <w:rFonts w:hint="eastAsia" w:ascii="微软雅黑" w:hAnsi="微软雅黑" w:eastAsia="微软雅黑" w:cs="微软雅黑"/>
          <w:color w:val="000000" w:themeColor="text1"/>
          <w:sz w:val="44"/>
          <w:szCs w:val="44"/>
          <w:highlight w:val="none"/>
          <w14:textFill>
            <w14:solidFill>
              <w14:schemeClr w14:val="tx1"/>
            </w14:solidFill>
          </w14:textFill>
        </w:rPr>
      </w:pPr>
      <w:r>
        <w:rPr>
          <w:rFonts w:hint="eastAsia" w:ascii="微软雅黑" w:hAnsi="微软雅黑" w:eastAsia="微软雅黑" w:cs="微软雅黑"/>
          <w:color w:val="000000" w:themeColor="text1"/>
          <w:sz w:val="44"/>
          <w:szCs w:val="44"/>
          <w:highlight w:val="none"/>
          <w14:textFill>
            <w14:solidFill>
              <w14:schemeClr w14:val="tx1"/>
            </w14:solidFill>
          </w14:textFill>
        </w:rPr>
        <w:t>目</w:t>
      </w:r>
      <w:r>
        <w:rPr>
          <w:rFonts w:hint="eastAsia" w:ascii="微软雅黑" w:hAnsi="微软雅黑" w:eastAsia="微软雅黑" w:cs="微软雅黑"/>
          <w:color w:val="000000" w:themeColor="text1"/>
          <w:sz w:val="44"/>
          <w:szCs w:val="44"/>
          <w:highlight w:val="none"/>
          <w:lang w:val="en-US" w:eastAsia="zh-CN"/>
          <w14:textFill>
            <w14:solidFill>
              <w14:schemeClr w14:val="tx1"/>
            </w14:solidFill>
          </w14:textFill>
        </w:rPr>
        <w:t xml:space="preserve">  </w:t>
      </w:r>
      <w:r>
        <w:rPr>
          <w:rFonts w:hint="eastAsia" w:ascii="微软雅黑" w:hAnsi="微软雅黑" w:eastAsia="微软雅黑" w:cs="微软雅黑"/>
          <w:color w:val="000000" w:themeColor="text1"/>
          <w:sz w:val="44"/>
          <w:szCs w:val="44"/>
          <w:highlight w:val="none"/>
          <w14:textFill>
            <w14:solidFill>
              <w14:schemeClr w14:val="tx1"/>
            </w14:solidFill>
          </w14:textFill>
        </w:rPr>
        <w:t>录</w:t>
      </w:r>
    </w:p>
    <w:p w14:paraId="573FC202">
      <w:pPr>
        <w:keepNext w:val="0"/>
        <w:keepLines w:val="0"/>
        <w:pageBreakBefore w:val="0"/>
        <w:widowControl w:val="0"/>
        <w:tabs>
          <w:tab w:val="right" w:leader="dot" w:pos="8190"/>
        </w:tabs>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000000" w:themeColor="text1"/>
          <w:w w:val="96"/>
          <w:sz w:val="32"/>
          <w:szCs w:val="32"/>
          <w:highlight w:val="none"/>
          <w14:textFill>
            <w14:solidFill>
              <w14:schemeClr w14:val="tx1"/>
            </w14:solidFill>
          </w14:textFill>
        </w:rPr>
      </w:pPr>
    </w:p>
    <w:p w14:paraId="20E1462D">
      <w:pPr>
        <w:keepNext w:val="0"/>
        <w:keepLines w:val="0"/>
        <w:pageBreakBefore w:val="0"/>
        <w:widowControl w:val="0"/>
        <w:tabs>
          <w:tab w:val="right" w:leader="dot" w:pos="8190"/>
        </w:tabs>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color w:val="000000" w:themeColor="text1"/>
          <w:w w:val="98"/>
          <w:sz w:val="32"/>
          <w:szCs w:val="32"/>
          <w:highlight w:val="none"/>
          <w:lang w:val="en-US" w:eastAsia="zh-CN"/>
          <w14:textFill>
            <w14:solidFill>
              <w14:schemeClr w14:val="tx1"/>
            </w14:solidFill>
          </w14:textFill>
        </w:rPr>
      </w:pPr>
      <w:r>
        <w:rPr>
          <w:rFonts w:hint="eastAsia" w:ascii="黑体" w:hAnsi="黑体" w:eastAsia="黑体" w:cs="黑体"/>
          <w:color w:val="000000" w:themeColor="text1"/>
          <w:w w:val="96"/>
          <w:sz w:val="32"/>
          <w:szCs w:val="32"/>
          <w:highlight w:val="none"/>
          <w14:textFill>
            <w14:solidFill>
              <w14:schemeClr w14:val="tx1"/>
            </w14:solidFill>
          </w14:textFill>
        </w:rPr>
        <w:t>第一章</w:t>
      </w:r>
      <w:r>
        <w:rPr>
          <w:rFonts w:hint="eastAsia" w:ascii="黑体" w:hAnsi="黑体" w:eastAsia="黑体" w:cs="黑体"/>
          <w:color w:val="000000" w:themeColor="text1"/>
          <w:w w:val="96"/>
          <w:sz w:val="32"/>
          <w:szCs w:val="32"/>
          <w:highlight w:val="none"/>
          <w:lang w:val="en-US" w:eastAsia="zh-CN"/>
          <w14:textFill>
            <w14:solidFill>
              <w14:schemeClr w14:val="tx1"/>
            </w14:solidFill>
          </w14:textFill>
        </w:rPr>
        <w:t xml:space="preserve"> </w:t>
      </w:r>
      <w:r>
        <w:rPr>
          <w:rFonts w:hint="eastAsia" w:ascii="黑体" w:hAnsi="黑体" w:eastAsia="黑体" w:cs="黑体"/>
          <w:color w:val="000000" w:themeColor="text1"/>
          <w:w w:val="96"/>
          <w:sz w:val="32"/>
          <w:szCs w:val="32"/>
          <w:highlight w:val="none"/>
          <w14:textFill>
            <w14:solidFill>
              <w14:schemeClr w14:val="tx1"/>
            </w14:solidFill>
          </w14:textFill>
        </w:rPr>
        <w:t>港产城深度融合</w:t>
      </w:r>
      <w:r>
        <w:rPr>
          <w:rFonts w:hint="eastAsia" w:ascii="黑体" w:hAnsi="黑体" w:eastAsia="黑体" w:cs="黑体"/>
          <w:color w:val="000000" w:themeColor="text1"/>
          <w:w w:val="96"/>
          <w:sz w:val="32"/>
          <w:szCs w:val="32"/>
          <w:highlight w:val="none"/>
          <w:lang w:val="en-US" w:eastAsia="zh-CN"/>
          <w14:textFill>
            <w14:solidFill>
              <w14:schemeClr w14:val="tx1"/>
            </w14:solidFill>
          </w14:textFill>
        </w:rPr>
        <w:t xml:space="preserve"> </w:t>
      </w:r>
      <w:r>
        <w:rPr>
          <w:rFonts w:hint="eastAsia" w:ascii="黑体" w:hAnsi="黑体" w:eastAsia="黑体" w:cs="黑体"/>
          <w:color w:val="000000" w:themeColor="text1"/>
          <w:w w:val="96"/>
          <w:sz w:val="32"/>
          <w:szCs w:val="32"/>
          <w:highlight w:val="none"/>
          <w14:textFill>
            <w14:solidFill>
              <w14:schemeClr w14:val="tx1"/>
            </w14:solidFill>
          </w14:textFill>
        </w:rPr>
        <w:t>谱写现代化港口新城建设新篇章</w:t>
      </w:r>
      <w:r>
        <w:rPr>
          <w:rFonts w:hint="eastAsia" w:ascii="仿宋_GB2312" w:hAnsi="仿宋_GB2312" w:eastAsia="仿宋_GB2312" w:cs="仿宋_GB2312"/>
          <w:color w:val="000000" w:themeColor="text1"/>
          <w:w w:val="98"/>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w w:val="98"/>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w w:val="98"/>
          <w:sz w:val="32"/>
          <w:szCs w:val="32"/>
          <w:highlight w:val="none"/>
          <w:lang w:val="en-US" w:eastAsia="zh-CN"/>
          <w14:textFill>
            <w14:solidFill>
              <w14:schemeClr w14:val="tx1"/>
            </w14:solidFill>
          </w14:textFill>
        </w:rPr>
        <w:t>1</w:t>
      </w:r>
    </w:p>
    <w:p w14:paraId="393D3BD4">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第一节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开启高质量发展新征程</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w:t>
      </w:r>
    </w:p>
    <w:p w14:paraId="3B1A05B8">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第二</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“十五五”时期</w:t>
      </w:r>
      <w:r>
        <w:rPr>
          <w:rFonts w:hint="eastAsia" w:ascii="仿宋_GB2312" w:hAnsi="仿宋_GB2312" w:eastAsia="仿宋_GB2312" w:cs="仿宋_GB2312"/>
          <w:color w:val="000000" w:themeColor="text1"/>
          <w:sz w:val="32"/>
          <w:szCs w:val="32"/>
          <w:highlight w:val="none"/>
          <w14:textFill>
            <w14:solidFill>
              <w14:schemeClr w14:val="tx1"/>
            </w14:solidFill>
          </w14:textFill>
        </w:rPr>
        <w:t>发展环境</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w:t>
      </w:r>
    </w:p>
    <w:p w14:paraId="635152C6">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第三</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“十五五”时期经济社会发展总体要求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8</w:t>
      </w:r>
    </w:p>
    <w:p w14:paraId="141C82D8">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第二章</w:t>
      </w:r>
      <w:r>
        <w:rPr>
          <w:rFonts w:hint="eastAsia" w:ascii="黑体" w:hAnsi="黑体" w:eastAsia="黑体" w:cs="黑体"/>
          <w:color w:val="000000" w:themeColor="text1"/>
          <w:sz w:val="32"/>
          <w:szCs w:val="32"/>
          <w:highlight w:val="none"/>
          <w:lang w:val="en-US" w:eastAsia="zh-CN"/>
          <w14:textFill>
            <w14:solidFill>
              <w14:schemeClr w14:val="tx1"/>
            </w14:solidFill>
          </w14:textFill>
        </w:rPr>
        <w:t xml:space="preserve"> </w:t>
      </w:r>
      <w:r>
        <w:rPr>
          <w:rFonts w:hint="eastAsia" w:ascii="黑体" w:hAnsi="黑体" w:eastAsia="黑体" w:cs="黑体"/>
          <w:color w:val="000000" w:themeColor="text1"/>
          <w:sz w:val="32"/>
          <w:szCs w:val="32"/>
          <w:highlight w:val="none"/>
          <w14:textFill>
            <w14:solidFill>
              <w14:schemeClr w14:val="tx1"/>
            </w14:solidFill>
          </w14:textFill>
        </w:rPr>
        <w:t>优化空间布局</w:t>
      </w:r>
      <w:r>
        <w:rPr>
          <w:rFonts w:hint="eastAsia" w:ascii="黑体" w:hAnsi="黑体" w:eastAsia="黑体" w:cs="黑体"/>
          <w:color w:val="000000" w:themeColor="text1"/>
          <w:sz w:val="32"/>
          <w:szCs w:val="32"/>
          <w:highlight w:val="none"/>
          <w:lang w:val="en-US" w:eastAsia="zh-CN"/>
          <w14:textFill>
            <w14:solidFill>
              <w14:schemeClr w14:val="tx1"/>
            </w14:solidFill>
          </w14:textFill>
        </w:rPr>
        <w:t xml:space="preserve"> </w:t>
      </w:r>
      <w:r>
        <w:rPr>
          <w:rFonts w:hint="eastAsia" w:ascii="黑体" w:hAnsi="黑体" w:eastAsia="黑体" w:cs="黑体"/>
          <w:color w:val="000000" w:themeColor="text1"/>
          <w:sz w:val="32"/>
          <w:szCs w:val="32"/>
          <w:highlight w:val="none"/>
          <w14:textFill>
            <w14:solidFill>
              <w14:schemeClr w14:val="tx1"/>
            </w14:solidFill>
          </w14:textFill>
        </w:rPr>
        <w:t>打造城乡融合发展引领园区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15</w:t>
      </w:r>
    </w:p>
    <w:p w14:paraId="16DAE1DA">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第一节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打造多点支撑的发展格局</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15</w:t>
      </w:r>
    </w:p>
    <w:p w14:paraId="33FB9916">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第二</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完善城镇功能设施</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16</w:t>
      </w:r>
    </w:p>
    <w:p w14:paraId="5A62EA15">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第</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三</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优化城镇人居风貌</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17</w:t>
      </w:r>
    </w:p>
    <w:p w14:paraId="616255D9">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第</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四</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提升城镇化管理效能</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18</w:t>
      </w:r>
    </w:p>
    <w:p w14:paraId="7C73FD7C">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jc w:val="left"/>
        <w:textAlignment w:val="auto"/>
        <w:rPr>
          <w:rFonts w:hint="default" w:ascii="仿宋_GB2312" w:hAnsi="仿宋_GB2312" w:eastAsia="仿宋_GB2312" w:cs="仿宋_GB2312"/>
          <w:color w:val="000000" w:themeColor="text1"/>
          <w:w w:val="98"/>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第三章</w:t>
      </w:r>
      <w:r>
        <w:rPr>
          <w:rFonts w:hint="eastAsia" w:ascii="黑体" w:hAnsi="黑体" w:eastAsia="黑体" w:cs="黑体"/>
          <w:color w:val="000000" w:themeColor="text1"/>
          <w:sz w:val="32"/>
          <w:szCs w:val="32"/>
          <w:highlight w:val="none"/>
          <w:lang w:val="en-US" w:eastAsia="zh-CN"/>
          <w14:textFill>
            <w14:solidFill>
              <w14:schemeClr w14:val="tx1"/>
            </w14:solidFill>
          </w14:textFill>
        </w:rPr>
        <w:t xml:space="preserve"> </w:t>
      </w:r>
      <w:r>
        <w:rPr>
          <w:rFonts w:hint="eastAsia" w:ascii="黑体" w:hAnsi="黑体" w:eastAsia="黑体" w:cs="黑体"/>
          <w:color w:val="000000" w:themeColor="text1"/>
          <w:spacing w:val="-6"/>
          <w:sz w:val="32"/>
          <w:szCs w:val="32"/>
          <w:highlight w:val="none"/>
          <w14:textFill>
            <w14:solidFill>
              <w14:schemeClr w14:val="tx1"/>
            </w14:solidFill>
          </w14:textFill>
        </w:rPr>
        <w:t>加快建成枢纽港</w:t>
      </w:r>
      <w:r>
        <w:rPr>
          <w:rFonts w:hint="eastAsia" w:ascii="黑体" w:hAnsi="黑体" w:eastAsia="黑体" w:cs="黑体"/>
          <w:color w:val="000000" w:themeColor="text1"/>
          <w:spacing w:val="-6"/>
          <w:sz w:val="32"/>
          <w:szCs w:val="32"/>
          <w:highlight w:val="none"/>
          <w:lang w:val="en-US" w:eastAsia="zh-CN"/>
          <w14:textFill>
            <w14:solidFill>
              <w14:schemeClr w14:val="tx1"/>
            </w14:solidFill>
          </w14:textFill>
        </w:rPr>
        <w:t xml:space="preserve"> </w:t>
      </w:r>
      <w:r>
        <w:rPr>
          <w:rFonts w:hint="eastAsia" w:ascii="黑体" w:hAnsi="黑体" w:eastAsia="黑体" w:cs="黑体"/>
          <w:color w:val="000000" w:themeColor="text1"/>
          <w:spacing w:val="-6"/>
          <w:sz w:val="32"/>
          <w:szCs w:val="32"/>
          <w:highlight w:val="none"/>
          <w14:textFill>
            <w14:solidFill>
              <w14:schemeClr w14:val="tx1"/>
            </w14:solidFill>
          </w14:textFill>
        </w:rPr>
        <w:t>打造长江中游多式联运重要</w:t>
      </w:r>
      <w:r>
        <w:rPr>
          <w:rFonts w:hint="eastAsia" w:ascii="黑体" w:hAnsi="黑体" w:eastAsia="黑体" w:cs="黑体"/>
          <w:color w:val="000000" w:themeColor="text1"/>
          <w:spacing w:val="0"/>
          <w:sz w:val="32"/>
          <w:szCs w:val="32"/>
          <w:highlight w:val="none"/>
          <w:lang w:eastAsia="zh-CN"/>
          <w14:textFill>
            <w14:solidFill>
              <w14:schemeClr w14:val="tx1"/>
            </w14:solidFill>
          </w14:textFill>
        </w:rPr>
        <w:t>节</w:t>
      </w:r>
      <w:r>
        <w:rPr>
          <w:rFonts w:hint="eastAsia" w:ascii="黑体" w:hAnsi="黑体" w:eastAsia="黑体" w:cs="黑体"/>
          <w:color w:val="000000" w:themeColor="text1"/>
          <w:spacing w:val="0"/>
          <w:sz w:val="32"/>
          <w:szCs w:val="32"/>
          <w:highlight w:val="none"/>
          <w14:textFill>
            <w14:solidFill>
              <w14:schemeClr w14:val="tx1"/>
            </w14:solidFill>
          </w14:textFill>
        </w:rPr>
        <w:t>点</w:t>
      </w:r>
      <w:r>
        <w:rPr>
          <w:rFonts w:hint="eastAsia" w:ascii="仿宋_GB2312" w:hAnsi="仿宋_GB2312" w:eastAsia="仿宋_GB2312" w:cs="仿宋_GB2312"/>
          <w:color w:val="000000" w:themeColor="text1"/>
          <w:w w:val="97"/>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w w:val="98"/>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w w:val="98"/>
          <w:sz w:val="32"/>
          <w:szCs w:val="32"/>
          <w:highlight w:val="none"/>
          <w:lang w:val="en-US" w:eastAsia="zh-CN"/>
          <w14:textFill>
            <w14:solidFill>
              <w14:schemeClr w14:val="tx1"/>
            </w14:solidFill>
          </w14:textFill>
        </w:rPr>
        <w:t>20</w:t>
      </w:r>
    </w:p>
    <w:p w14:paraId="40D102AE">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第一节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港口基础设施提档升级</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20</w:t>
      </w:r>
    </w:p>
    <w:p w14:paraId="7E023175">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第二</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优化多式联运集疏运体系</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21</w:t>
      </w:r>
    </w:p>
    <w:p w14:paraId="3D4E3E9A">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第三</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完善枢纽服务平台</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23</w:t>
      </w:r>
    </w:p>
    <w:p w14:paraId="70A86B31">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jc w:val="left"/>
        <w:textAlignment w:val="auto"/>
        <w:rPr>
          <w:rFonts w:hint="default" w:ascii="仿宋_GB2312" w:hAnsi="仿宋_GB2312" w:eastAsia="仿宋_GB2312" w:cs="仿宋_GB2312"/>
          <w:color w:val="000000" w:themeColor="text1"/>
          <w:w w:val="98"/>
          <w:sz w:val="32"/>
          <w:szCs w:val="32"/>
          <w:highlight w:val="none"/>
          <w:lang w:val="en-US" w:eastAsia="zh-CN"/>
          <w14:textFill>
            <w14:solidFill>
              <w14:schemeClr w14:val="tx1"/>
            </w14:solidFill>
          </w14:textFill>
        </w:rPr>
      </w:pPr>
      <w:r>
        <w:rPr>
          <w:rFonts w:hint="eastAsia" w:ascii="黑体" w:hAnsi="黑体" w:eastAsia="黑体" w:cs="黑体"/>
          <w:color w:val="000000" w:themeColor="text1"/>
          <w:w w:val="97"/>
          <w:sz w:val="32"/>
          <w:szCs w:val="32"/>
          <w:highlight w:val="none"/>
          <w14:textFill>
            <w14:solidFill>
              <w14:schemeClr w14:val="tx1"/>
            </w14:solidFill>
          </w14:textFill>
        </w:rPr>
        <w:t>第四章</w:t>
      </w:r>
      <w:r>
        <w:rPr>
          <w:rFonts w:hint="eastAsia" w:ascii="黑体" w:hAnsi="黑体" w:eastAsia="黑体" w:cs="黑体"/>
          <w:color w:val="000000" w:themeColor="text1"/>
          <w:w w:val="97"/>
          <w:sz w:val="32"/>
          <w:szCs w:val="32"/>
          <w:highlight w:val="none"/>
          <w:lang w:val="en-US" w:eastAsia="zh-CN"/>
          <w14:textFill>
            <w14:solidFill>
              <w14:schemeClr w14:val="tx1"/>
            </w14:solidFill>
          </w14:textFill>
        </w:rPr>
        <w:t xml:space="preserve"> </w:t>
      </w:r>
      <w:r>
        <w:rPr>
          <w:rFonts w:hint="eastAsia" w:ascii="黑体" w:hAnsi="黑体" w:eastAsia="黑体" w:cs="黑体"/>
          <w:color w:val="000000" w:themeColor="text1"/>
          <w:w w:val="97"/>
          <w:sz w:val="32"/>
          <w:szCs w:val="32"/>
          <w:highlight w:val="none"/>
          <w14:textFill>
            <w14:solidFill>
              <w14:schemeClr w14:val="tx1"/>
            </w14:solidFill>
          </w14:textFill>
        </w:rPr>
        <w:t>加快建成贸易港</w:t>
      </w:r>
      <w:r>
        <w:rPr>
          <w:rFonts w:hint="eastAsia" w:ascii="黑体" w:hAnsi="黑体" w:eastAsia="黑体" w:cs="黑体"/>
          <w:color w:val="000000" w:themeColor="text1"/>
          <w:w w:val="97"/>
          <w:sz w:val="32"/>
          <w:szCs w:val="32"/>
          <w:highlight w:val="none"/>
          <w:lang w:val="en-US" w:eastAsia="zh-CN"/>
          <w14:textFill>
            <w14:solidFill>
              <w14:schemeClr w14:val="tx1"/>
            </w14:solidFill>
          </w14:textFill>
        </w:rPr>
        <w:t xml:space="preserve"> </w:t>
      </w:r>
      <w:r>
        <w:rPr>
          <w:rFonts w:hint="eastAsia" w:ascii="黑体" w:hAnsi="黑体" w:eastAsia="黑体" w:cs="黑体"/>
          <w:color w:val="000000" w:themeColor="text1"/>
          <w:w w:val="97"/>
          <w:sz w:val="32"/>
          <w:szCs w:val="32"/>
          <w:highlight w:val="none"/>
          <w14:textFill>
            <w14:solidFill>
              <w14:schemeClr w14:val="tx1"/>
            </w14:solidFill>
          </w14:textFill>
        </w:rPr>
        <w:t>打造长江中游内陆开放新高地</w:t>
      </w:r>
      <w:r>
        <w:rPr>
          <w:rFonts w:hint="eastAsia" w:ascii="仿宋_GB2312" w:hAnsi="仿宋_GB2312" w:eastAsia="仿宋_GB2312" w:cs="仿宋_GB2312"/>
          <w:color w:val="000000" w:themeColor="text1"/>
          <w:w w:val="97"/>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w w:val="98"/>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w w:val="98"/>
          <w:sz w:val="32"/>
          <w:szCs w:val="32"/>
          <w:highlight w:val="none"/>
          <w:lang w:val="en-US" w:eastAsia="zh-CN"/>
          <w14:textFill>
            <w14:solidFill>
              <w14:schemeClr w14:val="tx1"/>
            </w14:solidFill>
          </w14:textFill>
        </w:rPr>
        <w:t>26</w:t>
      </w:r>
    </w:p>
    <w:p w14:paraId="1352A415">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第一节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强化开放平台赋能</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26</w:t>
      </w:r>
    </w:p>
    <w:p w14:paraId="7457F7EE">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第二</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拓展跨境贸易格局</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28</w:t>
      </w:r>
    </w:p>
    <w:p w14:paraId="1AB19BD9">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第三</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深化区域协同开放</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30</w:t>
      </w:r>
    </w:p>
    <w:p w14:paraId="18871E5A">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第五章</w:t>
      </w:r>
      <w:r>
        <w:rPr>
          <w:rFonts w:hint="eastAsia" w:ascii="黑体" w:hAnsi="黑体" w:eastAsia="黑体" w:cs="黑体"/>
          <w:color w:val="000000" w:themeColor="text1"/>
          <w:sz w:val="32"/>
          <w:szCs w:val="32"/>
          <w:highlight w:val="none"/>
          <w:lang w:val="en-US" w:eastAsia="zh-CN"/>
          <w14:textFill>
            <w14:solidFill>
              <w14:schemeClr w14:val="tx1"/>
            </w14:solidFill>
          </w14:textFill>
        </w:rPr>
        <w:t xml:space="preserve"> </w:t>
      </w:r>
      <w:r>
        <w:rPr>
          <w:rFonts w:hint="eastAsia" w:ascii="黑体" w:hAnsi="黑体" w:eastAsia="黑体" w:cs="黑体"/>
          <w:color w:val="000000" w:themeColor="text1"/>
          <w:sz w:val="32"/>
          <w:szCs w:val="32"/>
          <w:highlight w:val="none"/>
          <w14:textFill>
            <w14:solidFill>
              <w14:schemeClr w14:val="tx1"/>
            </w14:solidFill>
          </w14:textFill>
        </w:rPr>
        <w:t>加快建成产业港</w:t>
      </w:r>
      <w:r>
        <w:rPr>
          <w:rFonts w:hint="eastAsia" w:ascii="黑体" w:hAnsi="黑体" w:eastAsia="黑体" w:cs="黑体"/>
          <w:color w:val="000000" w:themeColor="text1"/>
          <w:sz w:val="32"/>
          <w:szCs w:val="32"/>
          <w:highlight w:val="none"/>
          <w:lang w:val="en-US" w:eastAsia="zh-CN"/>
          <w14:textFill>
            <w14:solidFill>
              <w14:schemeClr w14:val="tx1"/>
            </w14:solidFill>
          </w14:textFill>
        </w:rPr>
        <w:t xml:space="preserve"> </w:t>
      </w:r>
      <w:r>
        <w:rPr>
          <w:rFonts w:hint="eastAsia" w:ascii="黑体" w:hAnsi="黑体" w:eastAsia="黑体" w:cs="黑体"/>
          <w:color w:val="000000" w:themeColor="text1"/>
          <w:sz w:val="32"/>
          <w:szCs w:val="32"/>
          <w:highlight w:val="none"/>
          <w14:textFill>
            <w14:solidFill>
              <w14:schemeClr w14:val="tx1"/>
            </w14:solidFill>
          </w14:textFill>
        </w:rPr>
        <w:t>构建现代化临港产业体系</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32</w:t>
      </w:r>
    </w:p>
    <w:p w14:paraId="7D9282E1">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第一节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传统产业提质升级</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32</w:t>
      </w:r>
    </w:p>
    <w:p w14:paraId="02F50CD1">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第二</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培育壮大新兴产业</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35</w:t>
      </w:r>
    </w:p>
    <w:p w14:paraId="409F112E">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第三</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强化科技创新工作</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37</w:t>
      </w:r>
    </w:p>
    <w:p w14:paraId="51ED533C">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第四</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推进数智化转型发展</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39</w:t>
      </w:r>
    </w:p>
    <w:p w14:paraId="559333AE">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第五</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培育城市经济新动能</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41</w:t>
      </w:r>
    </w:p>
    <w:p w14:paraId="72B997E3">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第</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六</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完善产业配套服务功能</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42</w:t>
      </w:r>
    </w:p>
    <w:p w14:paraId="566FF0AF">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第六章</w:t>
      </w:r>
      <w:r>
        <w:rPr>
          <w:rFonts w:hint="eastAsia" w:ascii="黑体" w:hAnsi="黑体" w:eastAsia="黑体" w:cs="黑体"/>
          <w:color w:val="000000" w:themeColor="text1"/>
          <w:sz w:val="32"/>
          <w:szCs w:val="32"/>
          <w:highlight w:val="none"/>
          <w:lang w:val="en-US" w:eastAsia="zh-CN"/>
          <w14:textFill>
            <w14:solidFill>
              <w14:schemeClr w14:val="tx1"/>
            </w14:solidFill>
          </w14:textFill>
        </w:rPr>
        <w:t xml:space="preserve"> </w:t>
      </w:r>
      <w:r>
        <w:rPr>
          <w:rFonts w:hint="eastAsia" w:ascii="黑体" w:hAnsi="黑体" w:eastAsia="黑体" w:cs="黑体"/>
          <w:color w:val="000000" w:themeColor="text1"/>
          <w:sz w:val="32"/>
          <w:szCs w:val="32"/>
          <w:highlight w:val="none"/>
          <w14:textFill>
            <w14:solidFill>
              <w14:schemeClr w14:val="tx1"/>
            </w14:solidFill>
          </w14:textFill>
        </w:rPr>
        <w:t>加快建成绿色港</w:t>
      </w:r>
      <w:r>
        <w:rPr>
          <w:rFonts w:hint="eastAsia" w:ascii="黑体" w:hAnsi="黑体" w:eastAsia="黑体" w:cs="黑体"/>
          <w:color w:val="000000" w:themeColor="text1"/>
          <w:sz w:val="32"/>
          <w:szCs w:val="32"/>
          <w:highlight w:val="none"/>
          <w:lang w:val="en-US" w:eastAsia="zh-CN"/>
          <w14:textFill>
            <w14:solidFill>
              <w14:schemeClr w14:val="tx1"/>
            </w14:solidFill>
          </w14:textFill>
        </w:rPr>
        <w:t xml:space="preserve">  </w:t>
      </w:r>
      <w:r>
        <w:rPr>
          <w:rFonts w:hint="eastAsia" w:ascii="黑体" w:hAnsi="黑体" w:eastAsia="黑体" w:cs="黑体"/>
          <w:color w:val="000000" w:themeColor="text1"/>
          <w:sz w:val="32"/>
          <w:szCs w:val="32"/>
          <w:highlight w:val="none"/>
          <w14:textFill>
            <w14:solidFill>
              <w14:schemeClr w14:val="tx1"/>
            </w14:solidFill>
          </w14:textFill>
        </w:rPr>
        <w:t>构建绿色低碳发展新格局</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44</w:t>
      </w:r>
    </w:p>
    <w:p w14:paraId="6C045F58">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第一节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筑牢长江生态屏障</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44</w:t>
      </w:r>
    </w:p>
    <w:p w14:paraId="228C6801">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第二</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提升环境质量水平</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46</w:t>
      </w:r>
    </w:p>
    <w:p w14:paraId="6FC30B54">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第三</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推进绿色转型发展</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47</w:t>
      </w:r>
    </w:p>
    <w:p w14:paraId="13C78FC9">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第七章</w:t>
      </w:r>
      <w:r>
        <w:rPr>
          <w:rFonts w:hint="eastAsia" w:ascii="黑体" w:hAnsi="黑体" w:eastAsia="黑体" w:cs="黑体"/>
          <w:color w:val="000000" w:themeColor="text1"/>
          <w:sz w:val="32"/>
          <w:szCs w:val="32"/>
          <w:highlight w:val="none"/>
          <w:lang w:val="en-US" w:eastAsia="zh-CN"/>
          <w14:textFill>
            <w14:solidFill>
              <w14:schemeClr w14:val="tx1"/>
            </w14:solidFill>
          </w14:textFill>
        </w:rPr>
        <w:t xml:space="preserve"> </w:t>
      </w:r>
      <w:r>
        <w:rPr>
          <w:rFonts w:hint="eastAsia" w:ascii="黑体" w:hAnsi="黑体" w:eastAsia="黑体" w:cs="黑体"/>
          <w:color w:val="000000" w:themeColor="text1"/>
          <w:spacing w:val="-6"/>
          <w:sz w:val="32"/>
          <w:szCs w:val="32"/>
          <w:highlight w:val="none"/>
          <w14:textFill>
            <w14:solidFill>
              <w14:schemeClr w14:val="tx1"/>
            </w14:solidFill>
          </w14:textFill>
        </w:rPr>
        <w:t>加快建成幸福港</w:t>
      </w:r>
      <w:r>
        <w:rPr>
          <w:rFonts w:hint="eastAsia" w:ascii="黑体" w:hAnsi="黑体" w:eastAsia="黑体" w:cs="黑体"/>
          <w:color w:val="000000" w:themeColor="text1"/>
          <w:spacing w:val="-6"/>
          <w:sz w:val="32"/>
          <w:szCs w:val="32"/>
          <w:highlight w:val="none"/>
          <w:lang w:val="en-US" w:eastAsia="zh-CN"/>
          <w14:textFill>
            <w14:solidFill>
              <w14:schemeClr w14:val="tx1"/>
            </w14:solidFill>
          </w14:textFill>
        </w:rPr>
        <w:t xml:space="preserve">  </w:t>
      </w:r>
      <w:r>
        <w:rPr>
          <w:rFonts w:hint="eastAsia" w:ascii="黑体" w:hAnsi="黑体" w:eastAsia="黑体" w:cs="黑体"/>
          <w:color w:val="000000" w:themeColor="text1"/>
          <w:spacing w:val="-6"/>
          <w:sz w:val="32"/>
          <w:szCs w:val="32"/>
          <w:highlight w:val="none"/>
          <w14:textFill>
            <w14:solidFill>
              <w14:schemeClr w14:val="tx1"/>
            </w14:solidFill>
          </w14:textFill>
        </w:rPr>
        <w:t>增进民生福祉</w:t>
      </w:r>
      <w:r>
        <w:rPr>
          <w:rFonts w:hint="eastAsia" w:ascii="黑体" w:hAnsi="黑体" w:eastAsia="黑体" w:cs="黑体"/>
          <w:color w:val="000000" w:themeColor="text1"/>
          <w:spacing w:val="-6"/>
          <w:sz w:val="32"/>
          <w:szCs w:val="32"/>
          <w:highlight w:val="none"/>
          <w:lang w:val="en-US" w:eastAsia="zh-CN"/>
          <w14:textFill>
            <w14:solidFill>
              <w14:schemeClr w14:val="tx1"/>
            </w14:solidFill>
          </w14:textFill>
        </w:rPr>
        <w:t>提升</w:t>
      </w:r>
      <w:r>
        <w:rPr>
          <w:rFonts w:hint="eastAsia" w:ascii="黑体" w:hAnsi="黑体" w:eastAsia="黑体" w:cs="黑体"/>
          <w:color w:val="000000" w:themeColor="text1"/>
          <w:spacing w:val="-6"/>
          <w:sz w:val="32"/>
          <w:szCs w:val="32"/>
          <w:highlight w:val="none"/>
          <w14:textFill>
            <w14:solidFill>
              <w14:schemeClr w14:val="tx1"/>
            </w14:solidFill>
          </w14:textFill>
        </w:rPr>
        <w:t>城市品质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50</w:t>
      </w:r>
    </w:p>
    <w:p w14:paraId="084877BB">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第一节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提质公共服务供给</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50</w:t>
      </w:r>
    </w:p>
    <w:p w14:paraId="1A7D3E97">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第二</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深化城乡融合发展</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53</w:t>
      </w:r>
    </w:p>
    <w:p w14:paraId="6DA05191">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第三</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强化民生保障支撑</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55</w:t>
      </w:r>
    </w:p>
    <w:p w14:paraId="5436BAD2">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第四</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强化安全生产监管</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56</w:t>
      </w:r>
    </w:p>
    <w:p w14:paraId="201B837B">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第五</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筑牢安全保障能力</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58</w:t>
      </w:r>
    </w:p>
    <w:p w14:paraId="4A677499">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第六</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深化社会治理与法治建设</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61</w:t>
      </w:r>
    </w:p>
    <w:p w14:paraId="4ECF1C0B">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第八章</w:t>
      </w:r>
      <w:r>
        <w:rPr>
          <w:rFonts w:hint="eastAsia" w:ascii="黑体" w:hAnsi="黑体" w:eastAsia="黑体" w:cs="黑体"/>
          <w:color w:val="000000" w:themeColor="text1"/>
          <w:sz w:val="32"/>
          <w:szCs w:val="32"/>
          <w:highlight w:val="none"/>
          <w:lang w:val="en-US" w:eastAsia="zh-CN"/>
          <w14:textFill>
            <w14:solidFill>
              <w14:schemeClr w14:val="tx1"/>
            </w14:solidFill>
          </w14:textFill>
        </w:rPr>
        <w:t xml:space="preserve"> </w:t>
      </w:r>
      <w:r>
        <w:rPr>
          <w:rFonts w:hint="eastAsia" w:ascii="黑体" w:hAnsi="黑体" w:eastAsia="黑体" w:cs="黑体"/>
          <w:color w:val="000000" w:themeColor="text1"/>
          <w:sz w:val="32"/>
          <w:szCs w:val="32"/>
          <w:highlight w:val="none"/>
          <w14:textFill>
            <w14:solidFill>
              <w14:schemeClr w14:val="tx1"/>
            </w14:solidFill>
          </w14:textFill>
        </w:rPr>
        <w:t>强化高质量党建</w:t>
      </w:r>
      <w:r>
        <w:rPr>
          <w:rFonts w:hint="eastAsia" w:ascii="黑体" w:hAnsi="黑体" w:eastAsia="黑体" w:cs="黑体"/>
          <w:color w:val="000000" w:themeColor="text1"/>
          <w:sz w:val="32"/>
          <w:szCs w:val="32"/>
          <w:highlight w:val="none"/>
          <w:lang w:val="en-US" w:eastAsia="zh-CN"/>
          <w14:textFill>
            <w14:solidFill>
              <w14:schemeClr w14:val="tx1"/>
            </w14:solidFill>
          </w14:textFill>
        </w:rPr>
        <w:t xml:space="preserve"> </w:t>
      </w:r>
      <w:r>
        <w:rPr>
          <w:rFonts w:hint="eastAsia" w:ascii="黑体" w:hAnsi="黑体" w:eastAsia="黑体" w:cs="黑体"/>
          <w:color w:val="000000" w:themeColor="text1"/>
          <w:sz w:val="32"/>
          <w:szCs w:val="32"/>
          <w:highlight w:val="none"/>
          <w14:textFill>
            <w14:solidFill>
              <w14:schemeClr w14:val="tx1"/>
            </w14:solidFill>
          </w14:textFill>
        </w:rPr>
        <w:t>筑牢规划实施坚强保障</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64</w:t>
      </w:r>
    </w:p>
    <w:p w14:paraId="056AB5B1">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第一节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强化政治引领与</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体制机制建设</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64</w:t>
      </w:r>
    </w:p>
    <w:p w14:paraId="110BC9AC">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第二</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建强干事创业干部队伍</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65</w:t>
      </w:r>
    </w:p>
    <w:p w14:paraId="0C380698">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第三</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增强基层党组织政治功能和组织功能</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66</w:t>
      </w:r>
    </w:p>
    <w:p w14:paraId="314F4174">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第四</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加强纪律作风保障</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68</w:t>
      </w:r>
    </w:p>
    <w:p w14:paraId="77BF61A7">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第九章</w:t>
      </w:r>
      <w:r>
        <w:rPr>
          <w:rFonts w:hint="eastAsia" w:ascii="黑体" w:hAnsi="黑体" w:eastAsia="黑体" w:cs="黑体"/>
          <w:color w:val="000000" w:themeColor="text1"/>
          <w:sz w:val="32"/>
          <w:szCs w:val="32"/>
          <w:highlight w:val="none"/>
          <w:lang w:val="en-US" w:eastAsia="zh-CN"/>
          <w14:textFill>
            <w14:solidFill>
              <w14:schemeClr w14:val="tx1"/>
            </w14:solidFill>
          </w14:textFill>
        </w:rPr>
        <w:t xml:space="preserve"> </w:t>
      </w:r>
      <w:r>
        <w:rPr>
          <w:rFonts w:hint="eastAsia" w:ascii="黑体" w:hAnsi="黑体" w:eastAsia="黑体" w:cs="黑体"/>
          <w:color w:val="000000" w:themeColor="text1"/>
          <w:sz w:val="32"/>
          <w:szCs w:val="32"/>
          <w:highlight w:val="none"/>
          <w14:textFill>
            <w14:solidFill>
              <w14:schemeClr w14:val="tx1"/>
            </w14:solidFill>
          </w14:textFill>
        </w:rPr>
        <w:t>强化规划引领</w:t>
      </w:r>
      <w:r>
        <w:rPr>
          <w:rFonts w:hint="eastAsia" w:ascii="黑体" w:hAnsi="黑体" w:eastAsia="黑体" w:cs="黑体"/>
          <w:color w:val="000000" w:themeColor="text1"/>
          <w:sz w:val="32"/>
          <w:szCs w:val="32"/>
          <w:highlight w:val="none"/>
          <w:lang w:val="en-US" w:eastAsia="zh-CN"/>
          <w14:textFill>
            <w14:solidFill>
              <w14:schemeClr w14:val="tx1"/>
            </w14:solidFill>
          </w14:textFill>
        </w:rPr>
        <w:t xml:space="preserve"> </w:t>
      </w:r>
      <w:r>
        <w:rPr>
          <w:rFonts w:hint="eastAsia" w:ascii="黑体" w:hAnsi="黑体" w:eastAsia="黑体" w:cs="黑体"/>
          <w:color w:val="000000" w:themeColor="text1"/>
          <w:sz w:val="32"/>
          <w:szCs w:val="32"/>
          <w:highlight w:val="none"/>
          <w14:textFill>
            <w14:solidFill>
              <w14:schemeClr w14:val="tx1"/>
            </w14:solidFill>
          </w14:textFill>
        </w:rPr>
        <w:t>赋能港产城高质量发展</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70</w:t>
      </w:r>
    </w:p>
    <w:p w14:paraId="18CCBA5C">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第一节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强化组织领导</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70</w:t>
      </w:r>
    </w:p>
    <w:p w14:paraId="5765A248">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第二</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完善系统保障机制</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70</w:t>
      </w:r>
    </w:p>
    <w:p w14:paraId="7C8AB3DF">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第三</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聚焦项目支撑</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71</w:t>
      </w:r>
    </w:p>
    <w:p w14:paraId="10B52080">
      <w:pPr>
        <w:keepNext w:val="0"/>
        <w:keepLines w:val="0"/>
        <w:pageBreakBefore w:val="0"/>
        <w:widowControl w:val="0"/>
        <w:tabs>
          <w:tab w:val="right" w:leader="dot" w:pos="8190"/>
        </w:tabs>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第四</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节</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优化规划实施环境</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71</w:t>
      </w:r>
    </w:p>
    <w:p w14:paraId="670272BB">
      <w:pPr>
        <w:keepNext w:val="0"/>
        <w:keepLines w:val="0"/>
        <w:pageBreakBefore w:val="0"/>
        <w:widowControl w:val="0"/>
        <w:tabs>
          <w:tab w:val="right" w:leader="dot" w:pos="6300"/>
        </w:tabs>
        <w:kinsoku/>
        <w:wordWrap/>
        <w:overflowPunct/>
        <w:topLinePunct w:val="0"/>
        <w:autoSpaceDE/>
        <w:autoSpaceDN/>
        <w:bidi w:val="0"/>
        <w:adjustRightInd/>
        <w:snapToGrid/>
        <w:spacing w:line="560" w:lineRule="exact"/>
        <w:jc w:val="both"/>
        <w:textAlignment w:val="auto"/>
        <w:rPr>
          <w:rFonts w:hint="eastAsia" w:ascii="微软雅黑" w:hAnsi="微软雅黑" w:eastAsia="微软雅黑" w:cs="微软雅黑"/>
          <w:color w:val="000000" w:themeColor="text1"/>
          <w:sz w:val="44"/>
          <w:szCs w:val="44"/>
          <w:highlight w:val="none"/>
          <w14:textFill>
            <w14:solidFill>
              <w14:schemeClr w14:val="tx1"/>
            </w14:solidFill>
          </w14:textFill>
        </w:rPr>
      </w:pPr>
    </w:p>
    <w:p w14:paraId="2086E672">
      <w:pPr>
        <w:keepNext w:val="0"/>
        <w:keepLines w:val="0"/>
        <w:pageBreakBefore w:val="0"/>
        <w:widowControl w:val="0"/>
        <w:tabs>
          <w:tab w:val="right" w:leader="dot" w:pos="6300"/>
        </w:tabs>
        <w:kinsoku/>
        <w:wordWrap/>
        <w:overflowPunct/>
        <w:topLinePunct w:val="0"/>
        <w:autoSpaceDE/>
        <w:autoSpaceDN/>
        <w:bidi w:val="0"/>
        <w:adjustRightInd/>
        <w:snapToGrid/>
        <w:spacing w:line="560" w:lineRule="exact"/>
        <w:jc w:val="center"/>
        <w:textAlignment w:val="auto"/>
        <w:rPr>
          <w:rFonts w:hint="eastAsia" w:ascii="微软雅黑" w:hAnsi="微软雅黑" w:eastAsia="微软雅黑" w:cs="微软雅黑"/>
          <w:color w:val="000000" w:themeColor="text1"/>
          <w:sz w:val="44"/>
          <w:szCs w:val="44"/>
          <w:highlight w:val="none"/>
          <w14:textFill>
            <w14:solidFill>
              <w14:schemeClr w14:val="tx1"/>
            </w14:solidFill>
          </w14:textFill>
        </w:rPr>
      </w:pPr>
    </w:p>
    <w:p w14:paraId="49352AB9">
      <w:pPr>
        <w:keepNext w:val="0"/>
        <w:keepLines w:val="0"/>
        <w:pageBreakBefore w:val="0"/>
        <w:widowControl w:val="0"/>
        <w:tabs>
          <w:tab w:val="right" w:leader="dot" w:pos="6300"/>
        </w:tabs>
        <w:kinsoku/>
        <w:wordWrap/>
        <w:overflowPunct/>
        <w:topLinePunct w:val="0"/>
        <w:autoSpaceDE/>
        <w:autoSpaceDN/>
        <w:bidi w:val="0"/>
        <w:adjustRightInd/>
        <w:snapToGrid/>
        <w:spacing w:line="560" w:lineRule="exact"/>
        <w:jc w:val="center"/>
        <w:textAlignment w:val="auto"/>
        <w:rPr>
          <w:rFonts w:hint="eastAsia" w:ascii="微软雅黑" w:hAnsi="微软雅黑" w:eastAsia="微软雅黑" w:cs="微软雅黑"/>
          <w:color w:val="000000" w:themeColor="text1"/>
          <w:sz w:val="44"/>
          <w:szCs w:val="44"/>
          <w:highlight w:val="none"/>
          <w14:textFill>
            <w14:solidFill>
              <w14:schemeClr w14:val="tx1"/>
            </w14:solidFill>
          </w14:textFill>
        </w:rPr>
      </w:pPr>
    </w:p>
    <w:p w14:paraId="59ACADF9">
      <w:pPr>
        <w:keepNext w:val="0"/>
        <w:keepLines w:val="0"/>
        <w:pageBreakBefore w:val="0"/>
        <w:widowControl w:val="0"/>
        <w:tabs>
          <w:tab w:val="right" w:leader="dot" w:pos="6300"/>
        </w:tabs>
        <w:kinsoku/>
        <w:wordWrap/>
        <w:overflowPunct/>
        <w:topLinePunct w:val="0"/>
        <w:autoSpaceDE/>
        <w:autoSpaceDN/>
        <w:bidi w:val="0"/>
        <w:adjustRightInd/>
        <w:snapToGrid/>
        <w:spacing w:line="560" w:lineRule="exact"/>
        <w:jc w:val="center"/>
        <w:textAlignment w:val="auto"/>
        <w:rPr>
          <w:rFonts w:hint="eastAsia" w:ascii="微软雅黑" w:hAnsi="微软雅黑" w:eastAsia="微软雅黑" w:cs="微软雅黑"/>
          <w:color w:val="000000" w:themeColor="text1"/>
          <w:sz w:val="44"/>
          <w:szCs w:val="44"/>
          <w:highlight w:val="none"/>
          <w14:textFill>
            <w14:solidFill>
              <w14:schemeClr w14:val="tx1"/>
            </w14:solidFill>
          </w14:textFill>
        </w:rPr>
      </w:pPr>
    </w:p>
    <w:p w14:paraId="60AFC10B">
      <w:pPr>
        <w:keepNext w:val="0"/>
        <w:keepLines w:val="0"/>
        <w:pageBreakBefore w:val="0"/>
        <w:widowControl w:val="0"/>
        <w:tabs>
          <w:tab w:val="right" w:leader="dot" w:pos="6300"/>
        </w:tabs>
        <w:kinsoku/>
        <w:wordWrap/>
        <w:overflowPunct/>
        <w:topLinePunct w:val="0"/>
        <w:autoSpaceDE/>
        <w:autoSpaceDN/>
        <w:bidi w:val="0"/>
        <w:adjustRightInd/>
        <w:snapToGrid/>
        <w:spacing w:line="560" w:lineRule="exact"/>
        <w:jc w:val="center"/>
        <w:textAlignment w:val="auto"/>
        <w:rPr>
          <w:rFonts w:hint="eastAsia" w:ascii="微软雅黑" w:hAnsi="微软雅黑" w:eastAsia="微软雅黑" w:cs="微软雅黑"/>
          <w:color w:val="000000" w:themeColor="text1"/>
          <w:sz w:val="44"/>
          <w:szCs w:val="44"/>
          <w:highlight w:val="none"/>
          <w14:textFill>
            <w14:solidFill>
              <w14:schemeClr w14:val="tx1"/>
            </w14:solidFill>
          </w14:textFill>
        </w:rPr>
      </w:pPr>
    </w:p>
    <w:p w14:paraId="5FF200DE">
      <w:pPr>
        <w:keepNext w:val="0"/>
        <w:keepLines w:val="0"/>
        <w:pageBreakBefore w:val="0"/>
        <w:widowControl w:val="0"/>
        <w:tabs>
          <w:tab w:val="right" w:leader="dot" w:pos="6300"/>
        </w:tabs>
        <w:kinsoku/>
        <w:wordWrap/>
        <w:overflowPunct/>
        <w:topLinePunct w:val="0"/>
        <w:autoSpaceDE/>
        <w:autoSpaceDN/>
        <w:bidi w:val="0"/>
        <w:adjustRightInd/>
        <w:snapToGrid/>
        <w:spacing w:line="560" w:lineRule="exact"/>
        <w:jc w:val="center"/>
        <w:textAlignment w:val="auto"/>
        <w:rPr>
          <w:rFonts w:hint="eastAsia" w:ascii="微软雅黑" w:hAnsi="微软雅黑" w:eastAsia="微软雅黑" w:cs="微软雅黑"/>
          <w:color w:val="000000" w:themeColor="text1"/>
          <w:sz w:val="44"/>
          <w:szCs w:val="44"/>
          <w:highlight w:val="none"/>
          <w14:textFill>
            <w14:solidFill>
              <w14:schemeClr w14:val="tx1"/>
            </w14:solidFill>
          </w14:textFill>
        </w:rPr>
      </w:pPr>
    </w:p>
    <w:p w14:paraId="5071DC85">
      <w:pPr>
        <w:keepNext w:val="0"/>
        <w:keepLines w:val="0"/>
        <w:pageBreakBefore w:val="0"/>
        <w:widowControl w:val="0"/>
        <w:tabs>
          <w:tab w:val="right" w:leader="dot" w:pos="6300"/>
        </w:tabs>
        <w:kinsoku/>
        <w:wordWrap/>
        <w:overflowPunct/>
        <w:topLinePunct w:val="0"/>
        <w:autoSpaceDE/>
        <w:autoSpaceDN/>
        <w:bidi w:val="0"/>
        <w:adjustRightInd/>
        <w:snapToGrid/>
        <w:spacing w:line="560" w:lineRule="exact"/>
        <w:jc w:val="center"/>
        <w:textAlignment w:val="auto"/>
        <w:rPr>
          <w:rFonts w:hint="eastAsia" w:ascii="微软雅黑" w:hAnsi="微软雅黑" w:eastAsia="微软雅黑" w:cs="微软雅黑"/>
          <w:color w:val="000000" w:themeColor="text1"/>
          <w:sz w:val="44"/>
          <w:szCs w:val="44"/>
          <w:highlight w:val="none"/>
          <w14:textFill>
            <w14:solidFill>
              <w14:schemeClr w14:val="tx1"/>
            </w14:solidFill>
          </w14:textFill>
        </w:rPr>
      </w:pPr>
      <w:r>
        <w:rPr>
          <w:rFonts w:hint="eastAsia" w:ascii="微软雅黑" w:hAnsi="微软雅黑" w:eastAsia="微软雅黑" w:cs="微软雅黑"/>
          <w:color w:val="000000" w:themeColor="text1"/>
          <w:sz w:val="44"/>
          <w:szCs w:val="44"/>
          <w:highlight w:val="none"/>
          <w14:textFill>
            <w14:solidFill>
              <w14:schemeClr w14:val="tx1"/>
            </w14:solidFill>
          </w14:textFill>
        </w:rPr>
        <w:t>黄石新港（物流）工业园区</w:t>
      </w:r>
    </w:p>
    <w:p w14:paraId="42B566CE">
      <w:pPr>
        <w:keepNext w:val="0"/>
        <w:keepLines w:val="0"/>
        <w:pageBreakBefore w:val="0"/>
        <w:widowControl w:val="0"/>
        <w:tabs>
          <w:tab w:val="right" w:leader="dot" w:pos="6300"/>
        </w:tabs>
        <w:kinsoku/>
        <w:wordWrap/>
        <w:overflowPunct/>
        <w:topLinePunct w:val="0"/>
        <w:autoSpaceDE/>
        <w:autoSpaceDN/>
        <w:bidi w:val="0"/>
        <w:adjustRightInd/>
        <w:snapToGrid/>
        <w:spacing w:line="720" w:lineRule="exact"/>
        <w:jc w:val="center"/>
        <w:textAlignment w:val="auto"/>
        <w:rPr>
          <w:rFonts w:hint="eastAsia" w:ascii="微软雅黑" w:hAnsi="微软雅黑" w:eastAsia="微软雅黑" w:cs="微软雅黑"/>
          <w:color w:val="000000" w:themeColor="text1"/>
          <w:sz w:val="44"/>
          <w:szCs w:val="44"/>
          <w:highlight w:val="none"/>
          <w14:textFill>
            <w14:solidFill>
              <w14:schemeClr w14:val="tx1"/>
            </w14:solidFill>
          </w14:textFill>
        </w:rPr>
      </w:pPr>
      <w:r>
        <w:rPr>
          <w:rFonts w:hint="eastAsia" w:ascii="微软雅黑" w:hAnsi="微软雅黑" w:eastAsia="微软雅黑" w:cs="微软雅黑"/>
          <w:color w:val="000000" w:themeColor="text1"/>
          <w:sz w:val="44"/>
          <w:szCs w:val="44"/>
          <w:highlight w:val="none"/>
          <w14:textFill>
            <w14:solidFill>
              <w14:schemeClr w14:val="tx1"/>
            </w14:solidFill>
          </w14:textFill>
        </w:rPr>
        <w:t>“十五五”港产城融合发展规划</w:t>
      </w:r>
    </w:p>
    <w:p w14:paraId="5012E9A4">
      <w:pPr>
        <w:keepNext w:val="0"/>
        <w:keepLines w:val="0"/>
        <w:pageBreakBefore w:val="0"/>
        <w:widowControl w:val="0"/>
        <w:tabs>
          <w:tab w:val="right" w:leader="dot" w:pos="6300"/>
        </w:tabs>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highlight w:val="none"/>
          <w:lang w:val="en-US" w:eastAsia="zh-CN"/>
          <w14:textFill>
            <w14:solidFill>
              <w14:schemeClr w14:val="tx1"/>
            </w14:solidFill>
          </w14:textFill>
        </w:rPr>
        <w:t>（征求意见稿）</w:t>
      </w:r>
    </w:p>
    <w:p w14:paraId="6DDD8EA3">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p>
    <w:p w14:paraId="6074CEB9">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21F8A84B">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微软雅黑" w:hAnsi="微软雅黑" w:eastAsia="微软雅黑" w:cs="微软雅黑"/>
          <w:b w:val="0"/>
          <w:bCs/>
          <w:color w:val="000000" w:themeColor="text1"/>
          <w:kern w:val="44"/>
          <w:sz w:val="44"/>
          <w:szCs w:val="44"/>
          <w:lang w:val="en-US" w:eastAsia="zh-CN" w:bidi="ar-SA"/>
          <w14:textFill>
            <w14:solidFill>
              <w14:schemeClr w14:val="tx1"/>
            </w14:solidFill>
          </w14:textFill>
        </w:rPr>
        <w:sectPr>
          <w:footerReference r:id="rId3" w:type="default"/>
          <w:pgSz w:w="11906" w:h="16838"/>
          <w:pgMar w:top="1814" w:right="1531" w:bottom="1701" w:left="1531" w:header="851" w:footer="992" w:gutter="0"/>
          <w:pgNumType w:fmt="numberInDash" w:start="1"/>
          <w:cols w:space="0" w:num="1"/>
          <w:rtlGutter w:val="0"/>
          <w:docGrid w:type="lines" w:linePitch="312" w:charSpace="0"/>
        </w:sect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十五五”时期是新港园区乘势突破千亿产值、实现港产城深度融合、迈向现代化港口新城的战略跃升期，园区将以习近平新时代中国特色社会主义思想为指导，全面贯彻党的二十大及历次全会精神，紧扣国家长江经济带发展、武汉都市圈一体化等重大战略，依托长江中游深水良港与多式联运优势，统筹推进空间布局优化、产业体系升级、生态保护加固、民生福祉增进与党建保障强化，奋力将园区打造成宜居宜业的现代化港口新城。</w:t>
      </w:r>
    </w:p>
    <w:p w14:paraId="55837F45">
      <w:pPr>
        <w:rPr>
          <w:color w:val="000000" w:themeColor="text1"/>
          <w14:textFill>
            <w14:solidFill>
              <w14:schemeClr w14:val="tx1"/>
            </w14:solidFill>
          </w14:textFill>
        </w:rPr>
      </w:pPr>
    </w:p>
    <w:p w14:paraId="65F16DEB">
      <w:pPr>
        <w:pStyle w:val="2"/>
        <w:keepNext/>
        <w:keepLines/>
        <w:pageBreakBefore w:val="0"/>
        <w:widowControl w:val="0"/>
        <w:tabs>
          <w:tab w:val="right" w:leader="dot" w:pos="6300"/>
        </w:tabs>
        <w:kinsoku/>
        <w:wordWrap/>
        <w:overflowPunct/>
        <w:topLinePunct w:val="0"/>
        <w:autoSpaceDE/>
        <w:autoSpaceDN/>
        <w:bidi w:val="0"/>
        <w:adjustRightInd/>
        <w:snapToGrid/>
        <w:spacing w:before="0" w:after="0" w:line="640" w:lineRule="exact"/>
        <w:jc w:val="center"/>
        <w:textAlignment w:val="auto"/>
        <w:rPr>
          <w:rFonts w:hint="eastAsia" w:ascii="微软雅黑" w:hAnsi="微软雅黑" w:eastAsia="微软雅黑" w:cs="微软雅黑"/>
          <w:b w:val="0"/>
          <w:bCs/>
          <w:color w:val="000000" w:themeColor="text1"/>
          <w:sz w:val="44"/>
          <w:szCs w:val="44"/>
          <w14:textFill>
            <w14:solidFill>
              <w14:schemeClr w14:val="tx1"/>
            </w14:solidFill>
          </w14:textFill>
        </w:rPr>
      </w:pPr>
      <w:r>
        <w:rPr>
          <w:rFonts w:hint="eastAsia" w:ascii="微软雅黑" w:hAnsi="微软雅黑" w:eastAsia="微软雅黑" w:cs="微软雅黑"/>
          <w:b w:val="0"/>
          <w:bCs/>
          <w:color w:val="000000" w:themeColor="text1"/>
          <w:sz w:val="44"/>
          <w:szCs w:val="44"/>
          <w:lang w:val="en-US" w:eastAsia="zh-CN"/>
          <w14:textFill>
            <w14:solidFill>
              <w14:schemeClr w14:val="tx1"/>
            </w14:solidFill>
          </w14:textFill>
        </w:rPr>
        <w:t xml:space="preserve">第一章 </w:t>
      </w:r>
      <w:r>
        <w:rPr>
          <w:rFonts w:hint="eastAsia" w:ascii="微软雅黑" w:hAnsi="微软雅黑" w:eastAsia="微软雅黑" w:cs="微软雅黑"/>
          <w:b w:val="0"/>
          <w:bCs/>
          <w:color w:val="000000" w:themeColor="text1"/>
          <w:sz w:val="44"/>
          <w:szCs w:val="44"/>
          <w14:textFill>
            <w14:solidFill>
              <w14:schemeClr w14:val="tx1"/>
            </w14:solidFill>
          </w14:textFill>
        </w:rPr>
        <w:t>港产城深度融合</w:t>
      </w:r>
      <w:bookmarkEnd w:id="0"/>
      <w:bookmarkEnd w:id="1"/>
      <w:bookmarkEnd w:id="2"/>
    </w:p>
    <w:p w14:paraId="2C3881AE">
      <w:pPr>
        <w:pStyle w:val="2"/>
        <w:keepNext/>
        <w:keepLines/>
        <w:pageBreakBefore w:val="0"/>
        <w:widowControl w:val="0"/>
        <w:tabs>
          <w:tab w:val="right" w:leader="dot" w:pos="6300"/>
        </w:tabs>
        <w:kinsoku/>
        <w:wordWrap/>
        <w:overflowPunct/>
        <w:topLinePunct w:val="0"/>
        <w:autoSpaceDE/>
        <w:autoSpaceDN/>
        <w:bidi w:val="0"/>
        <w:adjustRightInd/>
        <w:snapToGrid/>
        <w:spacing w:before="0" w:after="0" w:line="640" w:lineRule="exact"/>
        <w:jc w:val="center"/>
        <w:textAlignment w:val="auto"/>
        <w:rPr>
          <w:rFonts w:hint="eastAsia" w:ascii="微软雅黑" w:hAnsi="微软雅黑" w:eastAsia="微软雅黑" w:cs="微软雅黑"/>
          <w:b w:val="0"/>
          <w:bCs/>
          <w:color w:val="000000" w:themeColor="text1"/>
          <w:sz w:val="44"/>
          <w:szCs w:val="44"/>
          <w:lang w:val="en-US" w:eastAsia="zh-CN"/>
          <w14:textFill>
            <w14:solidFill>
              <w14:schemeClr w14:val="tx1"/>
            </w14:solidFill>
          </w14:textFill>
        </w:rPr>
      </w:pPr>
      <w:bookmarkStart w:id="3" w:name="_Toc4105"/>
      <w:bookmarkStart w:id="4" w:name="_Toc4750"/>
      <w:bookmarkStart w:id="5" w:name="_Toc14546"/>
      <w:bookmarkStart w:id="6" w:name="_Toc16574"/>
      <w:bookmarkStart w:id="7" w:name="_Toc21828"/>
      <w:bookmarkStart w:id="8" w:name="_Toc2291"/>
      <w:r>
        <w:rPr>
          <w:rFonts w:hint="eastAsia" w:ascii="微软雅黑" w:hAnsi="微软雅黑" w:eastAsia="微软雅黑" w:cs="微软雅黑"/>
          <w:b w:val="0"/>
          <w:bCs/>
          <w:color w:val="000000" w:themeColor="text1"/>
          <w:sz w:val="44"/>
          <w:szCs w:val="44"/>
          <w14:textFill>
            <w14:solidFill>
              <w14:schemeClr w14:val="tx1"/>
            </w14:solidFill>
          </w14:textFill>
        </w:rPr>
        <w:t>谱写现代化港口新城建设新篇章</w:t>
      </w:r>
      <w:bookmarkEnd w:id="3"/>
      <w:bookmarkEnd w:id="4"/>
      <w:bookmarkEnd w:id="5"/>
      <w:bookmarkEnd w:id="6"/>
      <w:bookmarkEnd w:id="7"/>
      <w:bookmarkEnd w:id="8"/>
    </w:p>
    <w:p w14:paraId="56A3FA4D">
      <w:pPr>
        <w:keepNext w:val="0"/>
        <w:keepLines w:val="0"/>
        <w:pageBreakBefore w:val="0"/>
        <w:widowControl w:val="0"/>
        <w:tabs>
          <w:tab w:val="right" w:leader="dot" w:pos="6300"/>
        </w:tabs>
        <w:kinsoku/>
        <w:wordWrap/>
        <w:overflowPunct/>
        <w:topLinePunct w:val="0"/>
        <w:autoSpaceDE/>
        <w:autoSpaceDN/>
        <w:bidi w:val="0"/>
        <w:adjustRightInd w:val="0"/>
        <w:snapToGrid w:val="0"/>
        <w:spacing w:line="40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p>
    <w:p w14:paraId="2AC50185">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jc w:val="center"/>
        <w:textAlignment w:val="auto"/>
        <w:outlineLvl w:val="0"/>
        <w:rPr>
          <w:rFonts w:hint="eastAsia"/>
          <w:color w:val="000000" w:themeColor="text1"/>
          <w:lang w:val="en-US" w:eastAsia="zh-CN"/>
          <w14:textFill>
            <w14:solidFill>
              <w14:schemeClr w14:val="tx1"/>
            </w14:solidFill>
          </w14:textFill>
        </w:rPr>
      </w:pPr>
      <w:bookmarkStart w:id="9" w:name="_Toc26876"/>
      <w:bookmarkStart w:id="10" w:name="_Toc6003"/>
      <w:bookmarkStart w:id="11" w:name="_Toc16611"/>
      <w:r>
        <w:rPr>
          <w:rFonts w:hint="eastAsia"/>
          <w:color w:val="000000" w:themeColor="text1"/>
          <w:lang w:val="en-US" w:eastAsia="zh-CN"/>
          <w14:textFill>
            <w14:solidFill>
              <w14:schemeClr w14:val="tx1"/>
            </w14:solidFill>
          </w14:textFill>
        </w:rPr>
        <w:t>第一节</w:t>
      </w:r>
      <w:bookmarkEnd w:id="9"/>
      <w:bookmarkEnd w:id="10"/>
      <w:bookmarkEnd w:id="11"/>
      <w:r>
        <w:rPr>
          <w:rFonts w:hint="eastAsia"/>
          <w:color w:val="000000" w:themeColor="text1"/>
          <w:lang w:val="en-US" w:eastAsia="zh-CN"/>
          <w14:textFill>
            <w14:solidFill>
              <w14:schemeClr w14:val="tx1"/>
            </w14:solidFill>
          </w14:textFill>
        </w:rPr>
        <w:t xml:space="preserve"> 开启高质量发展新征程</w:t>
      </w:r>
    </w:p>
    <w:p w14:paraId="72CCA325">
      <w:pPr>
        <w:keepNext w:val="0"/>
        <w:keepLines w:val="0"/>
        <w:pageBreakBefore w:val="0"/>
        <w:widowControl w:val="0"/>
        <w:tabs>
          <w:tab w:val="right" w:leader="dot" w:pos="6300"/>
        </w:tabs>
        <w:kinsoku/>
        <w:wordWrap/>
        <w:overflowPunct/>
        <w:topLinePunct w:val="0"/>
        <w:autoSpaceDE/>
        <w:autoSpaceDN/>
        <w:bidi w:val="0"/>
        <w:adjustRightInd w:val="0"/>
        <w:snapToGrid w:val="0"/>
        <w:spacing w:line="40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bookmarkStart w:id="12" w:name="_Toc5933"/>
      <w:bookmarkStart w:id="13" w:name="_Toc15681"/>
      <w:bookmarkStart w:id="14" w:name="_Toc28014"/>
      <w:bookmarkStart w:id="15" w:name="_Toc25796"/>
    </w:p>
    <w:p w14:paraId="5E58D949">
      <w:pPr>
        <w:keepNext w:val="0"/>
        <w:keepLines w:val="0"/>
        <w:pageBreakBefore w:val="0"/>
        <w:widowControl w:val="0"/>
        <w:tabs>
          <w:tab w:val="right" w:leader="dot" w:pos="6300"/>
        </w:tabs>
        <w:kinsoku w:val="0"/>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十四五”期间，园区立足长江经济带发展全局，以战略擘画锚定航向，以实干担当破解难题，在港产城融合发展的征程上实现历史性跨越。港产城融合水平大幅跃升，经济规模与产业能级爆发式增长，枢纽功能与物流辐射力实现质的飞跃，对外开放从单点突破迈向体系化赋能，生态保护与绿色转型同步提速，城乡面貌、公共服务与治理效能全面提质，</w:t>
      </w:r>
      <w:bookmarkEnd w:id="12"/>
      <w:bookmarkEnd w:id="13"/>
      <w:bookmarkEnd w:id="14"/>
      <w:bookmarkEnd w:id="15"/>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港产城融合能级实现质的飞跃，为黄石高质量发展乃至全省万亿级产业集群注入了强劲澎湃的新港动能。</w:t>
      </w:r>
    </w:p>
    <w:p w14:paraId="69D4136D">
      <w:pPr>
        <w:keepNext w:val="0"/>
        <w:keepLines w:val="0"/>
        <w:pageBreakBefore w:val="0"/>
        <w:widowControl w:val="0"/>
        <w:tabs>
          <w:tab w:val="right" w:leader="dot" w:pos="6300"/>
        </w:tabs>
        <w:kinsoku w:val="0"/>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16" w:name="_Toc21998"/>
      <w:r>
        <w:rPr>
          <w:rFonts w:hint="eastAsia" w:ascii="黑体" w:hAnsi="黑体" w:eastAsia="黑体" w:cs="黑体"/>
          <w:color w:val="000000" w:themeColor="text1"/>
          <w:sz w:val="32"/>
          <w:szCs w:val="32"/>
          <w:lang w:val="en-US" w:eastAsia="zh-CN"/>
          <w14:textFill>
            <w14:solidFill>
              <w14:schemeClr w14:val="tx1"/>
            </w14:solidFill>
          </w14:textFill>
        </w:rPr>
        <w:t>一、战略定位精准锚定，发展路径清晰领航。</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十四五”时期，园区历经深度探索与系统谋划，彻底明晰了“从何处来、向何处去”的发展命题，形成了兼具高度、深度与精度的战略体系。明确以“长江中游多式联运重要节点和长江中游大宗商品资源配置枢纽、武汉都市圈对外开放桥头堡、黄石转型升级和高质量发展重要增长极”为三大核心定位，确定“亿吨大港、千亿园区、港口新城”建设目标，以港产城一体化发展为主线，构建起“前港赋能、中产支撑、后城宜居”的空间发展格局，将“枢纽港、贸易港、产业港、绿色港、幸福港”建设作为贯穿始终的实施路径，为园区高质量发展筑牢了方向引领与战略支撑，实现了发展思路从“探索前行”到“精准领航”的深刻转变。</w:t>
      </w:r>
    </w:p>
    <w:p w14:paraId="6B8AB7D6">
      <w:pPr>
        <w:keepNext w:val="0"/>
        <w:keepLines w:val="0"/>
        <w:pageBreakBefore w:val="0"/>
        <w:widowControl w:val="0"/>
        <w:tabs>
          <w:tab w:val="right" w:leader="dot" w:pos="6300"/>
        </w:tabs>
        <w:kinsoku w:val="0"/>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二、临港经济量级跃升，产业能级领跑全市。</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十四五”期间，园区临港经济发展势头强劲、成效卓著，实现了跨越式增长的亮眼突破。地区生产总值（GDP）阶梯式攀升、稳步快跑，规上工业总产值从2021年的22.7亿元，接连突破100亿、200亿、300亿、400亿元大关，呈百倍级增长态势。2025年，园区实现规上工业总产值514.6亿元，为全市“十四五”规上工业总产值突破3000亿元的增量贡献率达48.1%，成为黄石服务全省支点建设的强劲增长极。随着弘盛铜业、新兴管业、宝钢、湖北优科等一批百亿级项目投产，园区规上工业企业数量年均增长率超40%，培育形成百亿级企业1家、十亿级企业5家，“四上”企业数量实现增长150%，低碳冶金、港口物流、粮食加工三大主导产业完成从“分散布局”到“集群崛起”的华丽蜕变，低碳冶金产业成功获批省级低碳冶金创新型产业集群，临港经济较“十三五”末增长超22倍，年均增速超100%，占全市规上工业产值比重从“十三五”末的不足1%提升至17.2%，成为黄石工业增长引擎。</w:t>
      </w:r>
    </w:p>
    <w:p w14:paraId="3ADDE8AB">
      <w:pPr>
        <w:keepNext w:val="0"/>
        <w:keepLines w:val="0"/>
        <w:pageBreakBefore w:val="0"/>
        <w:widowControl w:val="0"/>
        <w:tabs>
          <w:tab w:val="right" w:leader="dot" w:pos="6300"/>
        </w:tabs>
        <w:kinsoku w:val="0"/>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三、枢纽功能立体升级，多式联运高效贯通。</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铁水公空管”“五位一体”网络建设为支撑，园区实现运输通道从“单点联通”到“全域贯通”、枢纽效能从“基础承载”到“高效赋能”的双重跨越。铁路方面完成疏港铁路升级改造及二期工程建设，实现“铁路进厂、厂港直通”；创新多式联运“一单制”“一票制”运营模式，“十四五”末，多式联运“公转铁”、粮食散改集年运量分别增长397.5%、152.4%；进口散装粮食运输时间从25—35天压缩至9天，物流成本降低超20%。开通“江海直达+长江班列”航线，“黄汉欧”中欧班列，发运量突破5000标箱，并联合花湖国际机场构建了陆空联运通道，实现运输效率提升30%，铁路运输成本每公里由0.6元降至0.38元每吨，已成为辐射中西部通达国际的重要物流通道节点。“十四五”期间，港口吞吐总量比“十三五”末净增7094.6万吨，增幅达112.5%；集装箱吞吐总量增幅125%。武汉新城至黄石新港快速通道、黄石大道东延、新315省道、海口湖大道、疏港铁路二期等重点疏港通道相继建成投用，在区内形成了“4分钟到达棋盘洲铁路站场、5分钟上高速、6分钟到达港口、30分钟到花湖国际机场”的快捷物流圈，实现货物“一日到全国，隔天达全球”，真正形成“通江达海、联内接外”的高效贯通格局。</w:t>
      </w:r>
    </w:p>
    <w:p w14:paraId="33AD6DBC">
      <w:pPr>
        <w:keepNext w:val="0"/>
        <w:keepLines w:val="0"/>
        <w:pageBreakBefore w:val="0"/>
        <w:widowControl w:val="0"/>
        <w:tabs>
          <w:tab w:val="right" w:leader="dot" w:pos="6300"/>
        </w:tabs>
        <w:kinsoku w:val="0"/>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四、开放平台能级跃升，辐射效应全域释放。</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园区开放平台建设强势突破、全面爆发，实现从“单点突围”到“体系赋能”的华丽转身，成为激活全域开放格局的重要引擎。一类水运口岸功能持续升级，通关流程不断优化，口岸服务效能大幅提升；棋盘洲综合保税区2021年获批建设、2023年封关试运营，2023—2025年，全口径进出口总值累计突破163亿元，年均增速达669.5％；一线进出口值累计104.33亿元，年均增长735.5％；保税业务进出口值累计57.17亿元，年均增长359％；跨境电商进出口值累计44.4亿元，年均增长40％，成为全市外向型经济发展的承载极；建成花湖机场城市货站，加密航空货运专线合作，2025年为花湖机场集货3.27万吨，成为花湖机场周边最大集货地；打通“武汉光谷—黄石—欧洲”12小时跨境电商通关通道，跨境电商9610、1210业务实现常态化运营，2025年完成25.9亿元，占全市总量的87%；成功获批中国湖北自贸区创新联动发展区，系统复制推广71项先进改革经验，形成规模化、制度化的创新红利，开放平台的承载能力、服务效能与政策能级实现质的飞跃。“十四五”期间，园区进出口从零起步，连续突破50亿、100亿、200亿、300亿大关，2025年达355亿元，对全市“十四五”进出口增长贡献率超85%，外贸主体从不足50家蓬勃增长至200余家，贸易品类从单一工业品拓展至多元领域，辐射能级实现质的飞跃。</w:t>
      </w:r>
    </w:p>
    <w:p w14:paraId="5C028BDA">
      <w:pPr>
        <w:keepNext w:val="0"/>
        <w:keepLines w:val="0"/>
        <w:pageBreakBefore w:val="0"/>
        <w:widowControl w:val="0"/>
        <w:tabs>
          <w:tab w:val="right" w:leader="dot" w:pos="6300"/>
        </w:tabs>
        <w:kinsoku w:val="0"/>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五、民生福祉普惠均等，城乡融合深度蝶变。</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十四五”期间，园区坚持以人民为中心的发展初心，推动社会事业与乡村振兴同频共振、双向赋能，民生福祉实现全方位提质、多层次覆盖，城乡融合发展迈入深度蝶变新阶段。教育资源供给持续扩容提质，新建扩建新港实验中学、金海九年一贯制学校等7所学校，新增学位5000个，学位总量实现翻倍增长，公办普惠幼儿园占比达82.18%，较“十三五”末提升40个百分点，教育公平底色愈发鲜明。医疗卫生条件全面提质升级，新港人民医院建成投用填补区域综合性医院空白，完成26个村卫生室标准化改造，家庭医生签约率达100%，实现慢性病管理、中医药服务全覆盖，基层医疗服务能力显著增强，群众就医获得感持续提升。住房与生活配套迭代升级，交付金盆、春湖等还建小区2396余套住房，“15分钟生活圈”全面覆盖，公交微循环、便民商业网点直达社区，居民生活便利度实现质的飞跃。乡村振兴成效亮眼夺目，完成27个行政村149个自然湾环境整治，建成500亩粮食旱涝保收高产示范基地，粮食播种面积稳定在2.4万亩以上，培育源口螃蟹、金海白茶2个国家地理标志产品，带动2000余农户稳定增收；“村BA”、龙舟赛、白茶文化节、美食节等群众性文体活动蓬勃开展，每年吸引数万周边群众参与，乡村旅游加快发展，群众精神文化生活更加丰富多彩，呈现出“城美乡兴、全域和谐、共建共享”的生动图景。</w:t>
      </w:r>
    </w:p>
    <w:p w14:paraId="64F49DBF">
      <w:pPr>
        <w:keepNext w:val="0"/>
        <w:keepLines w:val="0"/>
        <w:pageBreakBefore w:val="0"/>
        <w:widowControl w:val="0"/>
        <w:tabs>
          <w:tab w:val="right" w:leader="dot" w:pos="6300"/>
        </w:tabs>
        <w:kinsoku w:val="0"/>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六、绿色发展深入人心，生态品质标杆示范。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十四五”期间，园区坚定不移践行生态优先、绿色发展理念，将绿色转型贯穿招商引资、项目建设、生产运营全过程，实现经济发展与生态保护协同共进、良性互动，树立起区域生态治理的标杆典范。环境治理取得标志性亮眼成效，PM2.5浓度和空气优良天数较2020年均有明显改善，</w:t>
      </w:r>
      <w:r>
        <w:rPr>
          <w:rFonts w:ascii="Arial" w:hAnsi="Arial" w:eastAsia="Arial" w:cs="Arial"/>
          <w:i w:val="0"/>
          <w:iCs w:val="0"/>
          <w:caps w:val="0"/>
          <w:color w:val="000000" w:themeColor="text1"/>
          <w:spacing w:val="0"/>
          <w:sz w:val="25"/>
          <w:szCs w:val="25"/>
          <w:shd w:val="clear" w:fill="FFFFFF"/>
          <w14:textFill>
            <w14:solidFill>
              <w14:schemeClr w14:val="tx1"/>
            </w14:solidFill>
          </w14:textFill>
        </w:rPr>
        <w:t>SO₂</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臭氧浓度均优于黄石市其他城区；大冶湖闸国控点水质全年保持优良、达标率100%，71个长江入河排污口全部完成溯源整改与销号，长江生态屏障更加牢固。创新打造沿江、沿路、沿企三条生态绿廊，深入推进“乡村创美、企业创A、园区创绿”行动，弘盛铜业、宝钢黄石公司等4家企业获评国家级、省级绿色工厂，其中弘盛铜业成为全市首个创“国A”企业，树立行业绿色标杆。生态修复工程全面落地见效，完成长江岸线复绿700亩、矿山生态修复480亩，新增绿地50万平方米，绿化覆盖率提升至38%，构建起“蓝绿交织、山水相融”的生态格局。</w:t>
      </w:r>
    </w:p>
    <w:p w14:paraId="1BA0FFAB">
      <w:pPr>
        <w:keepNext w:val="0"/>
        <w:keepLines w:val="0"/>
        <w:pageBreakBefore w:val="0"/>
        <w:widowControl w:val="0"/>
        <w:tabs>
          <w:tab w:val="right" w:leader="dot" w:pos="6300"/>
        </w:tabs>
        <w:kinsoku w:val="0"/>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七、改革创新破冰突围，发展活力充分迸发。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十四五”期间，园区以体制机制改革为突破口，敢闯敢试、破冰突围，全方位激发市场活力、释放发展动能，实现治理效能与内生动力的双重跃升，发展活力持续充盈。体制改革大刀阔斧纵深推进，全面承接阳新县下放权限638项，涵盖社会事务、行政审批等关键领域，彻底实现社会事务管理全覆盖，破解了过往管理权限碎片化的发展瓶颈。政务服务提质增效迭代升级，新建政务服务大厅整合14个职能部门89项事项，实现“一站办理、一窗受理”，工程审批时限较“十三五”末压缩60%，惠企政策“无申请兑现”覆盖企业120余家，营商环境持续优化，企业获得感显著增强。要素保障坚实有力、精准高效，完成重点项目征地6302亩、土地报批1850亩，处置批而未供土地2690.6亩，创新设立乡镇金库，成立注册资本金1亿元的黄石新港产业投资有限公司，金融创新与要素配置效率大幅提升。改革创新红利持续释放，“十四五”期间新增市场主体2600余家，较“十三五”末增长3倍，各类市场主体蓬勃发展、活力迸发，为园区高质量发展注入了源源不断的强劲动能。</w:t>
      </w:r>
    </w:p>
    <w:p w14:paraId="50FF6AF9">
      <w:pPr>
        <w:keepNext w:val="0"/>
        <w:keepLines w:val="0"/>
        <w:pageBreakBefore w:val="0"/>
        <w:widowControl w:val="0"/>
        <w:tabs>
          <w:tab w:val="right" w:leader="dot" w:pos="6300"/>
        </w:tabs>
        <w:kinsoku w:val="0"/>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bookmarkEnd w:id="16"/>
    <w:p w14:paraId="108FAF37">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723" w:firstLineChars="200"/>
        <w:jc w:val="center"/>
        <w:textAlignment w:val="auto"/>
        <w:outlineLvl w:val="0"/>
        <w:rPr>
          <w:rFonts w:hint="default" w:ascii="黑体" w:hAnsi="黑体" w:eastAsia="黑体" w:cs="黑体"/>
          <w:b w:val="0"/>
          <w:bCs w:val="0"/>
          <w:color w:val="000000" w:themeColor="text1"/>
          <w:kern w:val="2"/>
          <w:szCs w:val="32"/>
          <w:lang w:val="en-US" w:eastAsia="zh-CN" w:bidi="ar-SA"/>
          <w14:textFill>
            <w14:solidFill>
              <w14:schemeClr w14:val="tx1"/>
            </w14:solidFill>
          </w14:textFill>
        </w:rPr>
      </w:pPr>
      <w:bookmarkStart w:id="17" w:name="_Toc90"/>
      <w:bookmarkStart w:id="18" w:name="_Toc23480"/>
      <w:bookmarkStart w:id="19" w:name="_Toc18408"/>
      <w:r>
        <w:rPr>
          <w:rFonts w:hint="eastAsia"/>
          <w:color w:val="000000" w:themeColor="text1"/>
          <w:lang w:val="en-US" w:eastAsia="zh-CN"/>
          <w14:textFill>
            <w14:solidFill>
              <w14:schemeClr w14:val="tx1"/>
            </w14:solidFill>
          </w14:textFill>
        </w:rPr>
        <w:t>第二节 “十五五”时期</w:t>
      </w:r>
      <w:bookmarkEnd w:id="17"/>
      <w:r>
        <w:rPr>
          <w:rFonts w:hint="eastAsia"/>
          <w:color w:val="000000" w:themeColor="text1"/>
          <w:lang w:val="en-US" w:eastAsia="zh-CN"/>
          <w14:textFill>
            <w14:solidFill>
              <w14:schemeClr w14:val="tx1"/>
            </w14:solidFill>
          </w14:textFill>
        </w:rPr>
        <w:t>发展环境</w:t>
      </w:r>
      <w:bookmarkEnd w:id="18"/>
      <w:bookmarkEnd w:id="19"/>
    </w:p>
    <w:p w14:paraId="2D95E832">
      <w:pPr>
        <w:keepNext w:val="0"/>
        <w:keepLines w:val="0"/>
        <w:pageBreakBefore w:val="0"/>
        <w:widowControl w:val="0"/>
        <w:tabs>
          <w:tab w:val="right" w:leader="dot" w:pos="6300"/>
        </w:tabs>
        <w:kinsoku/>
        <w:wordWrap/>
        <w:overflowPunct/>
        <w:topLinePunct w:val="0"/>
        <w:autoSpaceDE/>
        <w:autoSpaceDN/>
        <w:bidi w:val="0"/>
        <w:adjustRightInd/>
        <w:snapToGrid/>
        <w:spacing w:before="0" w:beforeAutospacing="0" w:after="0" w:afterAutospacing="0" w:line="400" w:lineRule="exact"/>
        <w:ind w:firstLine="723" w:firstLineChars="200"/>
        <w:jc w:val="center"/>
        <w:textAlignment w:val="auto"/>
        <w:outlineLvl w:val="9"/>
        <w:rPr>
          <w:rFonts w:hint="default" w:ascii="宋体" w:hAnsi="宋体" w:eastAsia="宋体" w:cs="宋体"/>
          <w:b/>
          <w:bCs/>
          <w:color w:val="000000" w:themeColor="text1"/>
          <w:kern w:val="0"/>
          <w:sz w:val="36"/>
          <w:szCs w:val="36"/>
          <w:lang w:val="en-US" w:eastAsia="zh-CN" w:bidi="ar"/>
          <w14:textFill>
            <w14:solidFill>
              <w14:schemeClr w14:val="tx1"/>
            </w14:solidFill>
          </w14:textFill>
        </w:rPr>
      </w:pPr>
    </w:p>
    <w:p w14:paraId="70F12EA1">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“十五五”</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时期，园区</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正迎来规模跨越、产业突破、开放升级、功能重塑、干部奋进、战略叠加的多重历史机遇交汇期，</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各级</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战略支撑与自身基础深度融合，为高质量发展注入前所未有的强劲动能。</w:t>
      </w:r>
      <w:bookmarkStart w:id="20" w:name="_Toc22768"/>
      <w:bookmarkStart w:id="21" w:name="_Toc3192"/>
    </w:p>
    <w:p w14:paraId="2BC391B2">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一、战略机遇。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十五五”时期，国家长江经济带发展、中部崛起、碳达峰碳中和等多重战略持续深化，扩大有效投资、传统产业高端化智能化绿色化转型、高水平对外开放等政策导向精准发力；湖北省“建成支点、走在前列、谱写新篇”战略落地见效，“五主十重”现代化港口体系、先进制造业集群、武鄂黄黄国际综合交通枢纽建设加速推进；黄石市将园区列为产业核心承载区、开放枢纽，“亿吨大港、千亿园区、港口新城”培育目标与“1121”现代化产业体系部署同向发力，形成“国家战略+省级支撑+市级赋能”的强大政策合力。</w:t>
      </w:r>
    </w:p>
    <w:p w14:paraId="0DA45C9D">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二、六大跃升期。</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依托坚实发展基础与叠加机遇，园区正同步迈入六大关键发展时期。一是综合规模实力跨越期，凭借“十四五”爆发式增长根基与重大项目储备，向260亿元GDP、1000亿元工业产值冲刺；二是产业竞争力加快突破期，以“临港产业+新兴产业”双轮驱动，推动传统产业升级与新兴产业培育；三是开放辐射力加快发挥期，激活多元开放平台效能，依托物流通道优势拓展全域辐射范围；四是园区功能配套能力加快重塑期，以环海口湖片区开发为核心，实现城市功能从“产业配套”向“宜居宜业”转型；五是干部干事创业拼搏奔跑期，在完善激励机制与实战场景中锤炼高素质队伍，注入强劲组织动力；六是战略机遇叠加红利集中释放期，凭借“自身基础+外部赋能”的独特优势，在区域竞争中抢占先机。</w:t>
      </w:r>
    </w:p>
    <w:p w14:paraId="7E48D5D6">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三、面临的风险和挑战</w:t>
      </w:r>
      <w:bookmarkStart w:id="22" w:name="_Toc13096"/>
      <w:r>
        <w:rPr>
          <w:rFonts w:hint="eastAsia" w:ascii="黑体" w:hAnsi="黑体" w:eastAsia="黑体" w:cs="黑体"/>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长江中游港口群一体化进程中，阳逻港、九江港等同类型港口在航线布局、货物集散等领域的竞争日趋白热化，园区在重大项目争取、高端要素集聚上压力陡增；低碳冶金、粮食加工等主导产业虽已形成规模，但仍处于价值链中端，向高端化、绿色化、智能化转型需巨额技术改造投入与核心技术突破，且受宏观经济周期、下游市场需求波动影响，产业链供应链稳定性面临考验；“双碳”目标下能耗与排放管控持续收紧，产业发展与生态保护的平衡难度加大，成片工业用地供给稀缺制约项目落地，长江大保护的刚性要求也对港口作业与临江产业布局形成约束；同时，国内外经济形势复杂多变，贸易保护主义、地缘政治冲突可能影响外贸通道安全与大宗商品价格稳定，国家产业政策、环保标准、土地管理政策的调整也可能给园区既有规划与项目推进带来不可预期的变数。</w:t>
      </w:r>
    </w:p>
    <w:p w14:paraId="3FFD9539">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4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6684FD6E">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723" w:firstLineChars="200"/>
        <w:jc w:val="center"/>
        <w:textAlignment w:val="auto"/>
        <w:outlineLvl w:val="0"/>
        <w:rPr>
          <w:rFonts w:hint="default"/>
          <w:color w:val="000000" w:themeColor="text1"/>
          <w:lang w:val="en-US" w:eastAsia="zh-CN"/>
          <w14:textFill>
            <w14:solidFill>
              <w14:schemeClr w14:val="tx1"/>
            </w14:solidFill>
          </w14:textFill>
        </w:rPr>
      </w:pPr>
      <w:bookmarkStart w:id="23" w:name="_Toc7180"/>
      <w:r>
        <w:rPr>
          <w:rFonts w:hint="eastAsia"/>
          <w:color w:val="000000" w:themeColor="text1"/>
          <w:lang w:val="en-US" w:eastAsia="zh-CN"/>
          <w14:textFill>
            <w14:solidFill>
              <w14:schemeClr w14:val="tx1"/>
            </w14:solidFill>
          </w14:textFill>
        </w:rPr>
        <w:t>第三节 “十五五”时期港产城融合发展总体要求</w:t>
      </w:r>
      <w:bookmarkEnd w:id="20"/>
      <w:bookmarkEnd w:id="22"/>
      <w:bookmarkEnd w:id="23"/>
    </w:p>
    <w:bookmarkEnd w:id="21"/>
    <w:p w14:paraId="280F1B72">
      <w:pPr>
        <w:keepNext w:val="0"/>
        <w:keepLines w:val="0"/>
        <w:pageBreakBefore w:val="0"/>
        <w:widowControl w:val="0"/>
        <w:tabs>
          <w:tab w:val="right" w:leader="dot" w:pos="6300"/>
        </w:tabs>
        <w:kinsoku/>
        <w:wordWrap/>
        <w:overflowPunct/>
        <w:topLinePunct w:val="0"/>
        <w:autoSpaceDE/>
        <w:autoSpaceDN/>
        <w:bidi w:val="0"/>
        <w:adjustRightInd/>
        <w:snapToGrid/>
        <w:spacing w:before="0" w:beforeAutospacing="0" w:after="0" w:afterAutospacing="0" w:line="400" w:lineRule="exact"/>
        <w:ind w:firstLine="723" w:firstLineChars="200"/>
        <w:jc w:val="center"/>
        <w:textAlignment w:val="auto"/>
        <w:outlineLvl w:val="9"/>
        <w:rPr>
          <w:rFonts w:hint="eastAsia" w:ascii="宋体" w:hAnsi="宋体" w:eastAsia="宋体" w:cs="宋体"/>
          <w:b/>
          <w:bCs/>
          <w:color w:val="000000" w:themeColor="text1"/>
          <w:kern w:val="0"/>
          <w:sz w:val="36"/>
          <w:szCs w:val="36"/>
          <w:lang w:val="en-US" w:eastAsia="zh-CN" w:bidi="ar"/>
          <w14:textFill>
            <w14:solidFill>
              <w14:schemeClr w14:val="tx1"/>
            </w14:solidFill>
          </w14:textFill>
        </w:rPr>
      </w:pPr>
      <w:bookmarkStart w:id="24" w:name="_Toc4326"/>
    </w:p>
    <w:p w14:paraId="7CD55959">
      <w:pPr>
        <w:pStyle w:val="4"/>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outlineLvl w:val="0"/>
        <w:rPr>
          <w:rFonts w:hint="eastAsia" w:ascii="黑体" w:hAnsi="黑体" w:eastAsia="黑体" w:cs="黑体"/>
          <w:b w:val="0"/>
          <w:bCs w:val="0"/>
          <w:color w:val="000000" w:themeColor="text1"/>
          <w:sz w:val="32"/>
          <w:szCs w:val="32"/>
          <w:lang w:val="en-US" w:eastAsia="zh-CN"/>
          <w14:textFill>
            <w14:solidFill>
              <w14:schemeClr w14:val="tx1"/>
            </w14:solidFill>
          </w14:textFill>
        </w:rPr>
      </w:pPr>
      <w:bookmarkStart w:id="25" w:name="_Toc27369"/>
      <w:r>
        <w:rPr>
          <w:rFonts w:hint="eastAsia" w:ascii="黑体" w:hAnsi="黑体" w:eastAsia="黑体" w:cs="黑体"/>
          <w:b w:val="0"/>
          <w:bCs w:val="0"/>
          <w:color w:val="000000" w:themeColor="text1"/>
          <w:sz w:val="32"/>
          <w:szCs w:val="32"/>
          <w:lang w:val="en-US" w:eastAsia="zh-CN"/>
          <w14:textFill>
            <w14:solidFill>
              <w14:schemeClr w14:val="tx1"/>
            </w14:solidFill>
          </w14:textFill>
        </w:rPr>
        <w:t>一、指导思想</w:t>
      </w:r>
      <w:bookmarkEnd w:id="24"/>
      <w:bookmarkEnd w:id="25"/>
    </w:p>
    <w:p w14:paraId="2619D51C">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bookmarkStart w:id="26" w:name="_Toc4952"/>
      <w:r>
        <w:rPr>
          <w:rFonts w:hint="default" w:ascii="仿宋_GB2312" w:hAnsi="仿宋_GB2312" w:eastAsia="仿宋_GB2312" w:cs="仿宋_GB2312"/>
          <w:color w:val="000000" w:themeColor="text1"/>
          <w:sz w:val="32"/>
          <w:szCs w:val="32"/>
          <w:lang w:val="en-US" w:eastAsia="zh-CN"/>
          <w14:textFill>
            <w14:solidFill>
              <w14:schemeClr w14:val="tx1"/>
            </w14:solidFill>
          </w14:textFill>
        </w:rPr>
        <w:t>坚持以习近平新时代中国特色社会主义思想为指导，全面贯彻党的二十大和二十届历次全会精神和习近平总书记考察湖北重要讲话精神，深入落实</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国家、省、市关于“十五五”工作</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部署。坚持稳中求进工作总基调，完整、准确、全面贯彻新发展理念，主动服务和融入新发展格局，紧扣长江经济带高质量发展、武汉都市圈一体化等国家和区域战略，充分释放新港园区长江中游最大单体港、国家级综合保税区、多式联运示范工程的平台优势，深挖深水良港、交通枢纽、临港产业集群、高水平对外开放的潜力</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全面建成长江重要多式联运节点和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长江中游大宗商品资源配置枢纽</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、武汉都市圈重要增长极</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对外</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开放桥头堡、</w:t>
      </w:r>
      <w:r>
        <w:rPr>
          <w:rFonts w:hint="eastAsia" w:ascii="仿宋" w:hAnsi="仿宋" w:eastAsia="仿宋" w:cs="仿宋"/>
          <w:color w:val="000000" w:themeColor="text1"/>
          <w:sz w:val="32"/>
          <w:szCs w:val="32"/>
          <w:lang w:val="en-US" w:eastAsia="zh-CN"/>
          <w14:textFill>
            <w14:solidFill>
              <w14:schemeClr w14:val="tx1"/>
            </w14:solidFill>
          </w14:textFill>
        </w:rPr>
        <w:t>黄石转型升级和高质量发展重要增长极</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，为谱写中国式现代化黄石篇章提供坚实支撑。</w:t>
      </w:r>
    </w:p>
    <w:p w14:paraId="5FB20677">
      <w:pPr>
        <w:pStyle w:val="4"/>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outlineLvl w:val="0"/>
        <w:rPr>
          <w:rFonts w:hint="eastAsia" w:ascii="黑体" w:hAnsi="黑体" w:eastAsia="黑体" w:cs="黑体"/>
          <w:b w:val="0"/>
          <w:bCs w:val="0"/>
          <w:color w:val="000000" w:themeColor="text1"/>
          <w:sz w:val="32"/>
          <w:szCs w:val="32"/>
          <w:lang w:val="en-US" w:eastAsia="zh-CN"/>
          <w14:textFill>
            <w14:solidFill>
              <w14:schemeClr w14:val="tx1"/>
            </w14:solidFill>
          </w14:textFill>
        </w:rPr>
      </w:pPr>
      <w:bookmarkStart w:id="27" w:name="_Toc7490"/>
      <w:bookmarkStart w:id="28" w:name="_Toc630"/>
      <w:r>
        <w:rPr>
          <w:rFonts w:hint="eastAsia" w:ascii="黑体" w:hAnsi="黑体" w:eastAsia="黑体" w:cs="黑体"/>
          <w:b w:val="0"/>
          <w:bCs w:val="0"/>
          <w:color w:val="000000" w:themeColor="text1"/>
          <w:sz w:val="32"/>
          <w:szCs w:val="32"/>
          <w:lang w:val="en-US" w:eastAsia="zh-CN"/>
          <w14:textFill>
            <w14:solidFill>
              <w14:schemeClr w14:val="tx1"/>
            </w14:solidFill>
          </w14:textFill>
        </w:rPr>
        <w:t>二、基本原则</w:t>
      </w:r>
      <w:bookmarkEnd w:id="26"/>
      <w:bookmarkEnd w:id="27"/>
      <w:bookmarkEnd w:id="28"/>
    </w:p>
    <w:p w14:paraId="3F5D8ACA">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（一）坚持党的全面领导。</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把党的领导贯穿港产城融合、产业升级等各方面全过程，坚决落实党中央决策部署及省、市工作要求，健全规划实施领导机制与协同推进体系，确保园区发展始终沿着正确方向前进，为高质量发展提供根本政治保证。</w:t>
      </w:r>
    </w:p>
    <w:p w14:paraId="7BA51B2D">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（二）坚持人民至上。</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践行以人民为中心的发展思想，紧扣港产城融合发展导向，把增进民生福祉作为核心落脚点，回应群众合理诉求，让园区发展成果更多更公平惠及居民，凝聚共建共享的强大合力。</w:t>
      </w:r>
    </w:p>
    <w:p w14:paraId="42059D6D">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（三）坚持高质量发展。</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锚定高质量发展首要任务，立足深水良港与临港产业基础，以新质生产力培育为牵引，推动港口运营、产业发展提质增效，实现质的有效提升和量的合理增长。</w:t>
      </w:r>
    </w:p>
    <w:p w14:paraId="368AA8D4">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（四）坚持全面深化改革。</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聚焦园区发展体制机制创新，深化与开放联动、与创新协同的重点领域改革，破解发展瓶颈，激活市场主体活力，增强新港内生发展动力。</w:t>
      </w:r>
    </w:p>
    <w:p w14:paraId="407D275F">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（五）坚持有效市场和有为政府相结合。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充分发挥市场在资源配置中的决定性作用，更好发挥政府作用，构建统一开放、竞争有序的市场体系，实现“放管服”协同高效，为发展营造良好环境。</w:t>
      </w:r>
    </w:p>
    <w:p w14:paraId="7F3BBE88">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（六）坚持统筹发展和安全。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全面贯彻总体国家安全观，强化底线思维，统筹生态安全、生产安全、产业安全等重点领域防控，健全风险防范化解机制，实现发展与安全良性互动。</w:t>
      </w:r>
    </w:p>
    <w:p w14:paraId="7B3E79BB">
      <w:pPr>
        <w:pStyle w:val="4"/>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outlineLvl w:val="0"/>
        <w:rPr>
          <w:rFonts w:hint="eastAsia" w:ascii="黑体" w:hAnsi="黑体" w:eastAsia="黑体" w:cs="黑体"/>
          <w:b w:val="0"/>
          <w:bCs w:val="0"/>
          <w:color w:val="000000" w:themeColor="text1"/>
          <w:sz w:val="32"/>
          <w:szCs w:val="32"/>
          <w:lang w:val="en-US" w:eastAsia="zh-CN"/>
          <w14:textFill>
            <w14:solidFill>
              <w14:schemeClr w14:val="tx1"/>
            </w14:solidFill>
          </w14:textFill>
        </w:rPr>
      </w:pPr>
      <w:bookmarkStart w:id="29" w:name="_Toc10244"/>
      <w:bookmarkStart w:id="30" w:name="_Toc30054"/>
      <w:bookmarkStart w:id="31" w:name="_Toc21587"/>
      <w:r>
        <w:rPr>
          <w:rFonts w:hint="eastAsia" w:ascii="黑体" w:hAnsi="黑体" w:eastAsia="黑体" w:cs="黑体"/>
          <w:b w:val="0"/>
          <w:bCs w:val="0"/>
          <w:color w:val="000000" w:themeColor="text1"/>
          <w:sz w:val="32"/>
          <w:szCs w:val="32"/>
          <w:lang w:val="en-US" w:eastAsia="zh-CN"/>
          <w14:textFill>
            <w14:solidFill>
              <w14:schemeClr w14:val="tx1"/>
            </w14:solidFill>
          </w14:textFill>
        </w:rPr>
        <w:t>三、发展战略定位</w:t>
      </w:r>
      <w:r>
        <w:rPr>
          <w:rFonts w:hint="default" w:ascii="黑体" w:hAnsi="黑体" w:eastAsia="黑体" w:cs="黑体"/>
          <w:b w:val="0"/>
          <w:bCs w:val="0"/>
          <w:color w:val="000000" w:themeColor="text1"/>
          <w:sz w:val="32"/>
          <w:szCs w:val="32"/>
          <w:lang w:val="en-US" w:eastAsia="zh-CN"/>
          <w14:textFill>
            <w14:solidFill>
              <w14:schemeClr w14:val="tx1"/>
            </w14:solidFill>
          </w14:textFill>
        </w:rPr>
        <w:t>​</w:t>
      </w:r>
      <w:bookmarkEnd w:id="29"/>
      <w:bookmarkEnd w:id="30"/>
      <w:bookmarkEnd w:id="31"/>
    </w:p>
    <w:p w14:paraId="124AE4F5">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（一）长江中游多式联运重要节点和长江中游大宗商品资源配置枢纽。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依托长江中游深水良港禀赋，持续升级港口基础设施，织密“铁水公空管”多式联运网络，全面提升货物集散中转效率与辐射能级，打造功能集成、运转高效、服务优质的多式联运核心节点与区域性大宗商品储运高地。</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w:t>
      </w:r>
    </w:p>
    <w:p w14:paraId="248A675B">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32" w:name="_Toc9037"/>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（二）武汉都市圈对外开放桥头堡。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立足黄石东部门户区位，以棋盘洲综保区为重要抓手，联动自贸区创新联动发展区、跨境电商综试区等平台，构建高水平对外开放体系，全力打造武汉都市圈内陆开放新高地，筑牢黄石对外开放合作的前沿阵地。</w:t>
      </w:r>
    </w:p>
    <w:p w14:paraId="43F7622C">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（三）黄石转型升级和高质量发展重要增长极。</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锚定临港产业提质升级与创新驱动发展主线，以建成国家低碳冶金创新型产业集群为核心，强化科技创新平台建设，推动产业向价值链高端攀升，打造长江中游临港产业科技创新高地。</w:t>
      </w:r>
    </w:p>
    <w:p w14:paraId="0C8647C3">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outlineLvl w:val="0"/>
        <w:rPr>
          <w:rFonts w:hint="eastAsia" w:ascii="黑体" w:hAnsi="黑体" w:eastAsia="黑体" w:cs="黑体"/>
          <w:b w:val="0"/>
          <w:bCs w:val="0"/>
          <w:color w:val="000000" w:themeColor="text1"/>
          <w:sz w:val="32"/>
          <w:szCs w:val="32"/>
          <w:lang w:val="en-US" w:eastAsia="zh-CN"/>
          <w14:textFill>
            <w14:solidFill>
              <w14:schemeClr w14:val="tx1"/>
            </w14:solidFill>
          </w14:textFill>
        </w:rPr>
      </w:pPr>
      <w:bookmarkStart w:id="33" w:name="_Toc26210"/>
      <w:bookmarkStart w:id="34" w:name="_Toc20283"/>
      <w:r>
        <w:rPr>
          <w:rFonts w:hint="eastAsia" w:ascii="黑体" w:hAnsi="黑体" w:eastAsia="黑体" w:cs="黑体"/>
          <w:b w:val="0"/>
          <w:bCs w:val="0"/>
          <w:color w:val="000000" w:themeColor="text1"/>
          <w:sz w:val="32"/>
          <w:szCs w:val="32"/>
          <w:lang w:val="en-US" w:eastAsia="zh-CN"/>
          <w14:textFill>
            <w14:solidFill>
              <w14:schemeClr w14:val="tx1"/>
            </w14:solidFill>
          </w14:textFill>
        </w:rPr>
        <w:t>四、发展目标</w:t>
      </w:r>
      <w:bookmarkEnd w:id="32"/>
      <w:bookmarkEnd w:id="33"/>
      <w:bookmarkEnd w:id="34"/>
    </w:p>
    <w:p w14:paraId="28518ADB">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outlineLvl w:val="1"/>
        <w:rPr>
          <w:rFonts w:hint="eastAsia" w:ascii="楷体_GB2312" w:hAnsi="楷体_GB2312" w:eastAsia="楷体_GB2312" w:cs="楷体_GB2312"/>
          <w:color w:val="000000" w:themeColor="text1"/>
          <w:sz w:val="32"/>
          <w:szCs w:val="32"/>
          <w:lang w:val="en-US" w:eastAsia="zh-CN"/>
          <w14:textFill>
            <w14:solidFill>
              <w14:schemeClr w14:val="tx1"/>
            </w14:solidFill>
          </w14:textFill>
        </w:rPr>
      </w:pPr>
      <w:bookmarkStart w:id="35" w:name="_Toc29351"/>
      <w:bookmarkStart w:id="36" w:name="_Toc32089"/>
      <w:bookmarkStart w:id="37" w:name="_Toc31963"/>
      <w:bookmarkStart w:id="38" w:name="_Toc26500"/>
      <w:bookmarkStart w:id="39" w:name="_Toc26028"/>
      <w:bookmarkStart w:id="40" w:name="_Toc9720"/>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（一）总体目标</w:t>
      </w:r>
      <w:bookmarkEnd w:id="35"/>
      <w:bookmarkEnd w:id="36"/>
      <w:bookmarkEnd w:id="37"/>
      <w:bookmarkEnd w:id="38"/>
      <w:bookmarkEnd w:id="39"/>
      <w:bookmarkEnd w:id="40"/>
    </w:p>
    <w:p w14:paraId="6D77B072">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bookmarkStart w:id="41" w:name="_Toc2808"/>
      <w:bookmarkStart w:id="42" w:name="_Toc7952"/>
      <w:bookmarkStart w:id="43" w:name="_Toc3855"/>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十五五”时期，牢牢锚定“亿吨大港、千亿园区、港口新城”战略愿景，以“体量规模更大、步调位置更稳、品质配套更优、后劲支撑更足、底线安全更牢”为导向，推动全域能级跨越式跃升。到2030年，园区将实现经济社会发展质效双升、港产城深度融合、全域协同共进，全面塑造差异化竞争优势，建成功能完备、宜居宜业、富有活力、独具魅力的现代化港口新城。</w:t>
      </w:r>
    </w:p>
    <w:p w14:paraId="00C6BE83">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outlineLvl w:val="1"/>
        <w:rPr>
          <w:rFonts w:hint="eastAsia" w:ascii="楷体_GB2312" w:hAnsi="楷体_GB2312" w:eastAsia="楷体_GB2312" w:cs="楷体_GB2312"/>
          <w:color w:val="000000" w:themeColor="text1"/>
          <w:sz w:val="32"/>
          <w:szCs w:val="32"/>
          <w:lang w:val="en-US" w:eastAsia="zh-CN"/>
          <w14:textFill>
            <w14:solidFill>
              <w14:schemeClr w14:val="tx1"/>
            </w14:solidFill>
          </w14:textFill>
        </w:rPr>
      </w:pPr>
      <w:bookmarkStart w:id="44" w:name="_Toc6645"/>
      <w:bookmarkStart w:id="45" w:name="_Toc5003"/>
      <w:bookmarkStart w:id="46" w:name="_Toc8731"/>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（二）具体目标</w:t>
      </w:r>
      <w:bookmarkEnd w:id="41"/>
      <w:bookmarkEnd w:id="42"/>
      <w:bookmarkEnd w:id="43"/>
      <w:bookmarkEnd w:id="44"/>
      <w:bookmarkEnd w:id="45"/>
      <w:bookmarkEnd w:id="46"/>
    </w:p>
    <w:p w14:paraId="0C71CEA8">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1.综合实力全面提升。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到2030年，地区生产总值突破260亿元，港口货物吞吐量达10000万吨。“四上”企业数量达100家，市场主体活力持续迸发，形成多点支撑、多元发展的经济增长格局。常住人口城镇化率提升至57%，经济总量与人口集聚能力实现同步跨越。</w:t>
      </w:r>
    </w:p>
    <w:p w14:paraId="3378626E">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2.产业实力全面提升。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规模以上工业产值达到1000亿元，产业规模迈上新台阶。以传统产业高端化转型与新兴产业规模化培育为双抓手，推动传统产业向高端化、绿色化转型，新兴产业规模化培育壮大。主导产业竞争力显著增强，产业链配套更加完善，摆脱对低端产能依赖；新兴产业形成特色集群，成为产业结构升级的核心增量，建成长江经济带临港先进制造业集群。</w:t>
      </w:r>
    </w:p>
    <w:p w14:paraId="300168AD">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3.创新实力全面提升。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强化企业创新主体地位，推动产学研深度协同，构建适配临港产业的完整创新生态。创新投入持续加大，创新载体更加完备，核心技术攻关取得突破，科技成果转化效率显著提高，创新驱动成为经济增长的新动力，创成国家低碳冶金创新型产业集群，打造长江中游临港产业科技创新高地。</w:t>
      </w:r>
    </w:p>
    <w:p w14:paraId="6FD6D592">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4.开放实力全面提升。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进出口总额增至448亿元、综保区一线进出口额突破166亿元、保税业务达100亿元、跨境电商进出口总值达57亿元，开放型经济规模持续扩大，能级不断跃升。以各类开放平台功能叠加为支撑，升级口岸服务效能，拓展国际物流通道与贸易业态，开放型经济能级持续跃升。区域联动与平台联动效能充分释放，成为货物集散与资源配置的重要节点，打造武汉都市圈对外开放核心节点与长江中游内陆开放新高地。</w:t>
      </w:r>
    </w:p>
    <w:p w14:paraId="228359D1">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5.园区品质全面提升。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优化全域空间布局，推进重点片区开发，完善城乡基础设施与公共服务配套，实现城镇功能从“产业配套型”向“宜居宜业型”全面转型。城乡融合发展机制更加健全，乡村面貌焕然一新，教育、医疗、养老等公共服务均等化水平显著提高，基本建成产城相融、城乡和谐、功能完善的现代化港口新城。</w:t>
      </w:r>
    </w:p>
    <w:p w14:paraId="56A1431A">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6.生态实力全面提升。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筑牢长江生态屏障，深化全域污染综合治理，推动产业绿色低碳转型，构建“一江两湖多廊”的生态安全体系。环境质量持续优化，资源循环利用效率大幅提升，绿色发展模式基本形成，争创国家减污降碳协同创新试点，实现经济发展与生态保护协同共进。</w:t>
      </w:r>
    </w:p>
    <w:p w14:paraId="60FAFA7A">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7.安全实力全面提升。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统筹粮食、能源、金融、食品药品、交通、公共卫生等多领域安全保障，健全全链条安全监管与风险防控机制。安全底线更加牢固，应急处置能力显著增强，社会治理精细化水平不断提高，打造安全韧性示范园区和更高水平的平安法治园区，为园区稳定发展提供坚实支撑。</w:t>
      </w:r>
    </w:p>
    <w:p w14:paraId="271BD3BB">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6F8B8367">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1FCAF84E">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tbl>
      <w:tblPr>
        <w:tblStyle w:val="10"/>
        <w:tblW w:w="85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8"/>
        <w:gridCol w:w="608"/>
        <w:gridCol w:w="950"/>
        <w:gridCol w:w="929"/>
        <w:gridCol w:w="629"/>
        <w:gridCol w:w="1028"/>
        <w:gridCol w:w="1252"/>
        <w:gridCol w:w="1334"/>
        <w:gridCol w:w="1032"/>
      </w:tblGrid>
      <w:tr w14:paraId="07C99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4" w:hRule="atLeast"/>
        </w:trPr>
        <w:tc>
          <w:tcPr>
            <w:tcW w:w="8540" w:type="dxa"/>
            <w:gridSpan w:val="9"/>
            <w:tcBorders>
              <w:top w:val="nil"/>
              <w:left w:val="nil"/>
              <w:bottom w:val="nil"/>
              <w:right w:val="nil"/>
            </w:tcBorders>
            <w:shd w:val="clear" w:color="auto" w:fill="auto"/>
            <w:noWrap/>
            <w:vAlign w:val="center"/>
          </w:tcPr>
          <w:p w14:paraId="379E6AC7">
            <w:pPr>
              <w:keepNext w:val="0"/>
              <w:keepLines w:val="0"/>
              <w:widowControl/>
              <w:suppressLineNumbers w:val="0"/>
              <w:jc w:val="center"/>
              <w:textAlignment w:val="center"/>
              <w:rPr>
                <w:rFonts w:ascii="方正大标宋简体" w:hAnsi="方正大标宋简体" w:eastAsia="方正大标宋简体" w:cs="方正大标宋简体"/>
                <w:i w:val="0"/>
                <w:iCs w:val="0"/>
                <w:color w:val="000000" w:themeColor="text1"/>
                <w:sz w:val="40"/>
                <w:szCs w:val="40"/>
                <w:u w:val="none"/>
                <w14:textFill>
                  <w14:solidFill>
                    <w14:schemeClr w14:val="tx1"/>
                  </w14:solidFill>
                </w14:textFill>
              </w:rPr>
            </w:pPr>
            <w:bookmarkStart w:id="47" w:name="_Toc28123"/>
            <w:bookmarkStart w:id="48" w:name="_Toc27758"/>
            <w:bookmarkStart w:id="49" w:name="_Toc11742"/>
            <w:bookmarkStart w:id="50" w:name="_Toc14053"/>
            <w:r>
              <w:rPr>
                <w:rFonts w:hint="eastAsia" w:ascii="方正大标宋简体" w:hAnsi="方正大标宋简体" w:eastAsia="方正大标宋简体" w:cs="方正大标宋简体"/>
                <w:i w:val="0"/>
                <w:iCs w:val="0"/>
                <w:color w:val="000000" w:themeColor="text1"/>
                <w:kern w:val="0"/>
                <w:sz w:val="40"/>
                <w:szCs w:val="40"/>
                <w:u w:val="none"/>
                <w:lang w:val="en-US" w:eastAsia="zh-CN" w:bidi="ar"/>
                <w14:textFill>
                  <w14:solidFill>
                    <w14:schemeClr w14:val="tx1"/>
                  </w14:solidFill>
                </w14:textFill>
              </w:rPr>
              <w:t>新港园区“十五五”时期经济社会发展主要指标</w:t>
            </w:r>
          </w:p>
        </w:tc>
      </w:tr>
      <w:tr w14:paraId="786D6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3"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6EB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i w:val="0"/>
                <w:iCs w:val="0"/>
                <w:color w:val="000000" w:themeColor="text1"/>
                <w:sz w:val="21"/>
                <w:szCs w:val="21"/>
                <w:u w:val="none"/>
                <w14:textFill>
                  <w14:solidFill>
                    <w14:schemeClr w14:val="tx1"/>
                  </w14:solidFill>
                </w14:textFill>
              </w:rPr>
            </w:pPr>
            <w:r>
              <w:rPr>
                <w:rFonts w:hint="eastAsia" w:ascii="黑体" w:hAnsi="宋体" w:eastAsia="黑体" w:cs="黑体"/>
                <w:i w:val="0"/>
                <w:iCs w:val="0"/>
                <w:color w:val="000000" w:themeColor="text1"/>
                <w:kern w:val="0"/>
                <w:sz w:val="21"/>
                <w:szCs w:val="21"/>
                <w:u w:val="none"/>
                <w:lang w:val="en-US" w:eastAsia="zh-CN" w:bidi="ar"/>
                <w14:textFill>
                  <w14:solidFill>
                    <w14:schemeClr w14:val="tx1"/>
                  </w14:solidFill>
                </w14:textFill>
              </w:rPr>
              <w:t>类型</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340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宋体" w:eastAsia="黑体" w:cs="黑体"/>
                <w:i w:val="0"/>
                <w:iCs w:val="0"/>
                <w:color w:val="000000" w:themeColor="text1"/>
                <w:sz w:val="21"/>
                <w:szCs w:val="21"/>
                <w:u w:val="none"/>
                <w14:textFill>
                  <w14:solidFill>
                    <w14:schemeClr w14:val="tx1"/>
                  </w14:solidFill>
                </w14:textFill>
              </w:rPr>
            </w:pPr>
            <w:r>
              <w:rPr>
                <w:rFonts w:hint="eastAsia" w:ascii="黑体" w:hAnsi="宋体" w:eastAsia="黑体" w:cs="黑体"/>
                <w:i w:val="0"/>
                <w:iCs w:val="0"/>
                <w:color w:val="000000" w:themeColor="text1"/>
                <w:kern w:val="0"/>
                <w:sz w:val="21"/>
                <w:szCs w:val="21"/>
                <w:u w:val="none"/>
                <w:lang w:val="en-US" w:eastAsia="zh-CN" w:bidi="ar"/>
                <w14:textFill>
                  <w14:solidFill>
                    <w14:schemeClr w14:val="tx1"/>
                  </w14:solidFill>
                </w14:textFill>
              </w:rPr>
              <w:t>序号</w:t>
            </w:r>
          </w:p>
        </w:tc>
        <w:tc>
          <w:tcPr>
            <w:tcW w:w="18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4852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宋体" w:eastAsia="黑体" w:cs="黑体"/>
                <w:i w:val="0"/>
                <w:iCs w:val="0"/>
                <w:color w:val="000000" w:themeColor="text1"/>
                <w:sz w:val="21"/>
                <w:szCs w:val="21"/>
                <w:u w:val="none"/>
                <w14:textFill>
                  <w14:solidFill>
                    <w14:schemeClr w14:val="tx1"/>
                  </w14:solidFill>
                </w14:textFill>
              </w:rPr>
            </w:pPr>
            <w:r>
              <w:rPr>
                <w:rFonts w:hint="eastAsia" w:ascii="黑体" w:hAnsi="宋体" w:eastAsia="黑体" w:cs="黑体"/>
                <w:i w:val="0"/>
                <w:iCs w:val="0"/>
                <w:color w:val="000000" w:themeColor="text1"/>
                <w:kern w:val="0"/>
                <w:sz w:val="21"/>
                <w:szCs w:val="21"/>
                <w:u w:val="none"/>
                <w:lang w:val="en-US" w:eastAsia="zh-CN" w:bidi="ar"/>
                <w14:textFill>
                  <w14:solidFill>
                    <w14:schemeClr w14:val="tx1"/>
                  </w14:solidFill>
                </w14:textFill>
              </w:rPr>
              <w:t>指标名称</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95A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宋体" w:eastAsia="黑体" w:cs="黑体"/>
                <w:i w:val="0"/>
                <w:iCs w:val="0"/>
                <w:color w:val="000000" w:themeColor="text1"/>
                <w:sz w:val="21"/>
                <w:szCs w:val="21"/>
                <w:u w:val="none"/>
                <w14:textFill>
                  <w14:solidFill>
                    <w14:schemeClr w14:val="tx1"/>
                  </w14:solidFill>
                </w14:textFill>
              </w:rPr>
            </w:pPr>
            <w:r>
              <w:rPr>
                <w:rFonts w:hint="eastAsia" w:ascii="黑体" w:hAnsi="宋体" w:eastAsia="黑体" w:cs="黑体"/>
                <w:i w:val="0"/>
                <w:iCs w:val="0"/>
                <w:color w:val="000000" w:themeColor="text1"/>
                <w:kern w:val="0"/>
                <w:sz w:val="21"/>
                <w:szCs w:val="21"/>
                <w:u w:val="none"/>
                <w:lang w:val="en-US" w:eastAsia="zh-CN" w:bidi="ar"/>
                <w14:textFill>
                  <w14:solidFill>
                    <w14:schemeClr w14:val="tx1"/>
                  </w14:solidFill>
                </w14:textFill>
              </w:rPr>
              <w:t>单位</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6E5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宋体" w:eastAsia="黑体" w:cs="黑体"/>
                <w:i w:val="0"/>
                <w:iCs w:val="0"/>
                <w:color w:val="000000" w:themeColor="text1"/>
                <w:sz w:val="21"/>
                <w:szCs w:val="21"/>
                <w:u w:val="none"/>
                <w14:textFill>
                  <w14:solidFill>
                    <w14:schemeClr w14:val="tx1"/>
                  </w14:solidFill>
                </w14:textFill>
              </w:rPr>
            </w:pPr>
            <w:r>
              <w:rPr>
                <w:rFonts w:hint="eastAsia" w:ascii="黑体" w:hAnsi="宋体" w:eastAsia="黑体" w:cs="黑体"/>
                <w:i w:val="0"/>
                <w:iCs w:val="0"/>
                <w:color w:val="000000" w:themeColor="text1"/>
                <w:kern w:val="0"/>
                <w:sz w:val="21"/>
                <w:szCs w:val="21"/>
                <w:u w:val="none"/>
                <w:lang w:val="en-US" w:eastAsia="zh-CN" w:bidi="ar"/>
                <w14:textFill>
                  <w14:solidFill>
                    <w14:schemeClr w14:val="tx1"/>
                  </w14:solidFill>
                </w14:textFill>
              </w:rPr>
              <w:t>2025年基数</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3B7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宋体" w:eastAsia="黑体" w:cs="黑体"/>
                <w:i w:val="0"/>
                <w:iCs w:val="0"/>
                <w:color w:val="000000" w:themeColor="text1"/>
                <w:sz w:val="21"/>
                <w:szCs w:val="21"/>
                <w:u w:val="none"/>
                <w14:textFill>
                  <w14:solidFill>
                    <w14:schemeClr w14:val="tx1"/>
                  </w14:solidFill>
                </w14:textFill>
              </w:rPr>
            </w:pPr>
            <w:r>
              <w:rPr>
                <w:rFonts w:hint="eastAsia" w:ascii="黑体" w:hAnsi="宋体" w:eastAsia="黑体" w:cs="黑体"/>
                <w:i w:val="0"/>
                <w:iCs w:val="0"/>
                <w:color w:val="000000" w:themeColor="text1"/>
                <w:kern w:val="0"/>
                <w:sz w:val="21"/>
                <w:szCs w:val="21"/>
                <w:u w:val="none"/>
                <w:lang w:val="en-US" w:eastAsia="zh-CN" w:bidi="ar"/>
                <w14:textFill>
                  <w14:solidFill>
                    <w14:schemeClr w14:val="tx1"/>
                  </w14:solidFill>
                </w14:textFill>
              </w:rPr>
              <w:t>2030年总量</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6BB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宋体" w:eastAsia="黑体" w:cs="黑体"/>
                <w:i w:val="0"/>
                <w:iCs w:val="0"/>
                <w:color w:val="000000" w:themeColor="text1"/>
                <w:sz w:val="21"/>
                <w:szCs w:val="21"/>
                <w:u w:val="none"/>
                <w14:textFill>
                  <w14:solidFill>
                    <w14:schemeClr w14:val="tx1"/>
                  </w14:solidFill>
                </w14:textFill>
              </w:rPr>
            </w:pPr>
            <w:r>
              <w:rPr>
                <w:rFonts w:hint="eastAsia" w:ascii="黑体" w:hAnsi="宋体" w:eastAsia="黑体" w:cs="黑体"/>
                <w:i w:val="0"/>
                <w:iCs w:val="0"/>
                <w:color w:val="000000" w:themeColor="text1"/>
                <w:kern w:val="0"/>
                <w:sz w:val="21"/>
                <w:szCs w:val="21"/>
                <w:u w:val="none"/>
                <w:lang w:val="en-US" w:eastAsia="zh-CN" w:bidi="ar"/>
                <w14:textFill>
                  <w14:solidFill>
                    <w14:schemeClr w14:val="tx1"/>
                  </w14:solidFill>
                </w14:textFill>
              </w:rPr>
              <w:t>年均［累计］</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CC9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宋体" w:eastAsia="黑体" w:cs="黑体"/>
                <w:i w:val="0"/>
                <w:iCs w:val="0"/>
                <w:color w:val="000000" w:themeColor="text1"/>
                <w:sz w:val="21"/>
                <w:szCs w:val="21"/>
                <w:u w:val="none"/>
                <w14:textFill>
                  <w14:solidFill>
                    <w14:schemeClr w14:val="tx1"/>
                  </w14:solidFill>
                </w14:textFill>
              </w:rPr>
            </w:pPr>
            <w:r>
              <w:rPr>
                <w:rFonts w:hint="eastAsia" w:ascii="黑体" w:hAnsi="宋体" w:eastAsia="黑体" w:cs="黑体"/>
                <w:i w:val="0"/>
                <w:iCs w:val="0"/>
                <w:color w:val="000000" w:themeColor="text1"/>
                <w:kern w:val="0"/>
                <w:sz w:val="21"/>
                <w:szCs w:val="21"/>
                <w:u w:val="none"/>
                <w:lang w:val="en-US" w:eastAsia="zh-CN" w:bidi="ar"/>
                <w14:textFill>
                  <w14:solidFill>
                    <w14:schemeClr w14:val="tx1"/>
                  </w14:solidFill>
                </w14:textFill>
              </w:rPr>
              <w:t>指标属性</w:t>
            </w:r>
          </w:p>
        </w:tc>
      </w:tr>
      <w:tr w14:paraId="7278D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6" w:hRule="atLeast"/>
        </w:trPr>
        <w:tc>
          <w:tcPr>
            <w:tcW w:w="77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838A3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宋体" w:eastAsia="黑体" w:cs="黑体"/>
                <w:i w:val="0"/>
                <w:iCs w:val="0"/>
                <w:color w:val="000000" w:themeColor="text1"/>
                <w:sz w:val="21"/>
                <w:szCs w:val="21"/>
                <w:u w:val="none"/>
                <w14:textFill>
                  <w14:solidFill>
                    <w14:schemeClr w14:val="tx1"/>
                  </w14:solidFill>
                </w14:textFill>
              </w:rPr>
            </w:pPr>
            <w:r>
              <w:rPr>
                <w:rFonts w:hint="eastAsia" w:ascii="黑体" w:hAnsi="宋体" w:eastAsia="黑体" w:cs="黑体"/>
                <w:i w:val="0"/>
                <w:iCs w:val="0"/>
                <w:color w:val="000000" w:themeColor="text1"/>
                <w:kern w:val="0"/>
                <w:sz w:val="21"/>
                <w:szCs w:val="21"/>
                <w:u w:val="none"/>
                <w:lang w:val="en-US" w:eastAsia="zh-CN" w:bidi="ar"/>
                <w14:textFill>
                  <w14:solidFill>
                    <w14:schemeClr w14:val="tx1"/>
                  </w14:solidFill>
                </w14:textFill>
              </w:rPr>
              <w:t>经济发展</w:t>
            </w:r>
          </w:p>
        </w:tc>
        <w:tc>
          <w:tcPr>
            <w:tcW w:w="6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2EBA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1</w:t>
            </w:r>
          </w:p>
        </w:tc>
        <w:tc>
          <w:tcPr>
            <w:tcW w:w="18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B9A34D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地区生产总值（</w:t>
            </w: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GDP</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）增长</w:t>
            </w:r>
          </w:p>
        </w:tc>
        <w:tc>
          <w:tcPr>
            <w:tcW w:w="6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14D0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7E6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themeColor="text1"/>
                <w:sz w:val="22"/>
                <w:szCs w:val="22"/>
                <w:u w:val="none"/>
                <w:lang w:val="en-US"/>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11.2</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7BCF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w:t>
            </w:r>
          </w:p>
        </w:tc>
        <w:tc>
          <w:tcPr>
            <w:tcW w:w="13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F3ED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eastAsia"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左右</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2412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预期性</w:t>
            </w:r>
          </w:p>
        </w:tc>
      </w:tr>
      <w:tr w14:paraId="57375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3"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93207A">
            <w:pPr>
              <w:keepNext w:val="0"/>
              <w:keepLines w:val="0"/>
              <w:pageBreakBefore w:val="0"/>
              <w:widowControl/>
              <w:kinsoku/>
              <w:wordWrap/>
              <w:overflowPunct/>
              <w:topLinePunct w:val="0"/>
              <w:autoSpaceDE/>
              <w:autoSpaceDN/>
              <w:bidi w:val="0"/>
              <w:adjustRightInd/>
              <w:snapToGrid/>
              <w:spacing w:line="280" w:lineRule="exact"/>
              <w:jc w:val="center"/>
              <w:rPr>
                <w:rFonts w:hint="eastAsia" w:ascii="黑体" w:hAnsi="宋体" w:eastAsia="黑体" w:cs="黑体"/>
                <w:i w:val="0"/>
                <w:iCs w:val="0"/>
                <w:color w:val="000000" w:themeColor="text1"/>
                <w:sz w:val="21"/>
                <w:szCs w:val="21"/>
                <w:u w:val="none"/>
                <w14:textFill>
                  <w14:solidFill>
                    <w14:schemeClr w14:val="tx1"/>
                  </w14:solidFill>
                </w14:textFill>
              </w:rPr>
            </w:pPr>
          </w:p>
        </w:tc>
        <w:tc>
          <w:tcPr>
            <w:tcW w:w="6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D211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2</w:t>
            </w:r>
          </w:p>
        </w:tc>
        <w:tc>
          <w:tcPr>
            <w:tcW w:w="18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790111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全员劳动生产率增长</w:t>
            </w:r>
          </w:p>
        </w:tc>
        <w:tc>
          <w:tcPr>
            <w:tcW w:w="6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7B81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w:t>
            </w:r>
          </w:p>
        </w:tc>
        <w:tc>
          <w:tcPr>
            <w:tcW w:w="10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403C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1D9C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w:t>
            </w:r>
          </w:p>
        </w:tc>
        <w:tc>
          <w:tcPr>
            <w:tcW w:w="13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4335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高于</w:t>
            </w: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GDP</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增速</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970C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预期性</w:t>
            </w:r>
          </w:p>
        </w:tc>
      </w:tr>
      <w:tr w14:paraId="5CE2F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0C1FDD8">
            <w:pPr>
              <w:keepNext w:val="0"/>
              <w:keepLines w:val="0"/>
              <w:pageBreakBefore w:val="0"/>
              <w:widowControl/>
              <w:kinsoku/>
              <w:wordWrap/>
              <w:overflowPunct/>
              <w:topLinePunct w:val="0"/>
              <w:autoSpaceDE/>
              <w:autoSpaceDN/>
              <w:bidi w:val="0"/>
              <w:adjustRightInd/>
              <w:snapToGrid/>
              <w:spacing w:line="280" w:lineRule="exact"/>
              <w:jc w:val="center"/>
              <w:rPr>
                <w:rFonts w:hint="eastAsia" w:ascii="黑体" w:hAnsi="宋体" w:eastAsia="黑体" w:cs="黑体"/>
                <w:i w:val="0"/>
                <w:iCs w:val="0"/>
                <w:color w:val="000000" w:themeColor="text1"/>
                <w:sz w:val="21"/>
                <w:szCs w:val="21"/>
                <w:u w:val="none"/>
                <w14:textFill>
                  <w14:solidFill>
                    <w14:schemeClr w14:val="tx1"/>
                  </w14:solidFill>
                </w14:textFill>
              </w:rPr>
            </w:pPr>
          </w:p>
        </w:tc>
        <w:tc>
          <w:tcPr>
            <w:tcW w:w="6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5BE0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3</w:t>
            </w:r>
          </w:p>
        </w:tc>
        <w:tc>
          <w:tcPr>
            <w:tcW w:w="18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D2BB00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常住人口城镇化率</w:t>
            </w:r>
          </w:p>
        </w:tc>
        <w:tc>
          <w:tcPr>
            <w:tcW w:w="6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A94A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F35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themeColor="text1"/>
                <w:sz w:val="21"/>
                <w:szCs w:val="21"/>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48.34</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9AC4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57</w:t>
            </w:r>
          </w:p>
        </w:tc>
        <w:tc>
          <w:tcPr>
            <w:tcW w:w="13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D0F9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A86A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预期性</w:t>
            </w:r>
          </w:p>
        </w:tc>
      </w:tr>
      <w:tr w14:paraId="31C41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7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4B078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宋体" w:eastAsia="黑体" w:cs="黑体"/>
                <w:i w:val="0"/>
                <w:iCs w:val="0"/>
                <w:color w:val="000000" w:themeColor="text1"/>
                <w:sz w:val="21"/>
                <w:szCs w:val="21"/>
                <w:u w:val="none"/>
                <w14:textFill>
                  <w14:solidFill>
                    <w14:schemeClr w14:val="tx1"/>
                  </w14:solidFill>
                </w14:textFill>
              </w:rPr>
            </w:pPr>
            <w:r>
              <w:rPr>
                <w:rFonts w:hint="eastAsia" w:ascii="黑体" w:hAnsi="宋体" w:eastAsia="黑体" w:cs="黑体"/>
                <w:i w:val="0"/>
                <w:iCs w:val="0"/>
                <w:color w:val="000000" w:themeColor="text1"/>
                <w:kern w:val="0"/>
                <w:sz w:val="21"/>
                <w:szCs w:val="21"/>
                <w:u w:val="none"/>
                <w:lang w:val="en-US" w:eastAsia="zh-CN" w:bidi="ar"/>
                <w14:textFill>
                  <w14:solidFill>
                    <w14:schemeClr w14:val="tx1"/>
                  </w14:solidFill>
                </w14:textFill>
              </w:rPr>
              <w:t>创新能力</w:t>
            </w:r>
          </w:p>
        </w:tc>
        <w:tc>
          <w:tcPr>
            <w:tcW w:w="6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5991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4</w:t>
            </w:r>
          </w:p>
        </w:tc>
        <w:tc>
          <w:tcPr>
            <w:tcW w:w="18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FC3B66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全社会研发经费投入增长</w:t>
            </w:r>
          </w:p>
        </w:tc>
        <w:tc>
          <w:tcPr>
            <w:tcW w:w="6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8964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7CC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10</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C5A1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86C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仿宋_GB2312" w:hAnsi="宋体" w:eastAsia="仿宋_GB2312" w:cs="仿宋_GB2312"/>
                <w:i w:val="0"/>
                <w:iCs w:val="0"/>
                <w:color w:val="000000" w:themeColor="text1"/>
                <w:sz w:val="21"/>
                <w:szCs w:val="21"/>
                <w:u w:val="none"/>
                <w14:textFill>
                  <w14:solidFill>
                    <w14:schemeClr w14:val="tx1"/>
                  </w14:solidFill>
                </w14:textFill>
              </w:rPr>
            </w:pPr>
            <w:r>
              <w:rPr>
                <w:rFonts w:hint="eastAsia" w:ascii="仿宋_GB2312" w:hAnsi="宋体" w:eastAsia="仿宋_GB2312" w:cs="仿宋_GB2312"/>
                <w:i w:val="0"/>
                <w:iCs w:val="0"/>
                <w:color w:val="000000" w:themeColor="text1"/>
                <w:kern w:val="0"/>
                <w:sz w:val="21"/>
                <w:szCs w:val="21"/>
                <w:u w:val="none"/>
                <w:lang w:val="en-US" w:eastAsia="zh-CN" w:bidi="ar"/>
                <w14:textFill>
                  <w14:solidFill>
                    <w14:schemeClr w14:val="tx1"/>
                  </w14:solidFill>
                </w14:textFill>
              </w:rPr>
              <w:t>＞</w:t>
            </w:r>
            <w:r>
              <w:rPr>
                <w:rFonts w:ascii="方正书宋简体" w:hAnsi="方正书宋简体" w:eastAsia="方正书宋简体" w:cs="方正书宋简体"/>
                <w:i w:val="0"/>
                <w:iCs w:val="0"/>
                <w:color w:val="000000" w:themeColor="text1"/>
                <w:kern w:val="0"/>
                <w:sz w:val="21"/>
                <w:szCs w:val="21"/>
                <w:u w:val="none"/>
                <w:lang w:val="en-US" w:eastAsia="zh-CN" w:bidi="ar"/>
                <w14:textFill>
                  <w14:solidFill>
                    <w14:schemeClr w14:val="tx1"/>
                  </w14:solidFill>
                </w14:textFill>
              </w:rPr>
              <w:t>10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85A9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预期性</w:t>
            </w:r>
          </w:p>
        </w:tc>
      </w:tr>
      <w:tr w14:paraId="67E39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5CF757">
            <w:pPr>
              <w:keepNext w:val="0"/>
              <w:keepLines w:val="0"/>
              <w:pageBreakBefore w:val="0"/>
              <w:widowControl/>
              <w:kinsoku/>
              <w:wordWrap/>
              <w:overflowPunct/>
              <w:topLinePunct w:val="0"/>
              <w:autoSpaceDE/>
              <w:autoSpaceDN/>
              <w:bidi w:val="0"/>
              <w:adjustRightInd/>
              <w:snapToGrid/>
              <w:spacing w:line="280" w:lineRule="exact"/>
              <w:jc w:val="center"/>
              <w:rPr>
                <w:rFonts w:hint="eastAsia" w:ascii="黑体" w:hAnsi="宋体" w:eastAsia="黑体" w:cs="黑体"/>
                <w:i w:val="0"/>
                <w:iCs w:val="0"/>
                <w:color w:val="000000" w:themeColor="text1"/>
                <w:sz w:val="21"/>
                <w:szCs w:val="21"/>
                <w:u w:val="none"/>
                <w14:textFill>
                  <w14:solidFill>
                    <w14:schemeClr w14:val="tx1"/>
                  </w14:solidFill>
                </w14:textFill>
              </w:rPr>
            </w:pPr>
          </w:p>
        </w:tc>
        <w:tc>
          <w:tcPr>
            <w:tcW w:w="6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8BCD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5</w:t>
            </w:r>
          </w:p>
        </w:tc>
        <w:tc>
          <w:tcPr>
            <w:tcW w:w="18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5F7A93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每万人口高价值发明专利拥有量</w:t>
            </w:r>
          </w:p>
        </w:tc>
        <w:tc>
          <w:tcPr>
            <w:tcW w:w="6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6430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件</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EE4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8.11</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76FB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10</w:t>
            </w:r>
          </w:p>
        </w:tc>
        <w:tc>
          <w:tcPr>
            <w:tcW w:w="13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0975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B18C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预期性</w:t>
            </w:r>
          </w:p>
        </w:tc>
      </w:tr>
      <w:tr w14:paraId="3FB5A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4"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56C39BE">
            <w:pPr>
              <w:keepNext w:val="0"/>
              <w:keepLines w:val="0"/>
              <w:pageBreakBefore w:val="0"/>
              <w:widowControl/>
              <w:kinsoku/>
              <w:wordWrap/>
              <w:overflowPunct/>
              <w:topLinePunct w:val="0"/>
              <w:autoSpaceDE/>
              <w:autoSpaceDN/>
              <w:bidi w:val="0"/>
              <w:adjustRightInd/>
              <w:snapToGrid/>
              <w:spacing w:line="280" w:lineRule="exact"/>
              <w:jc w:val="center"/>
              <w:rPr>
                <w:rFonts w:hint="eastAsia" w:ascii="黑体" w:hAnsi="宋体" w:eastAsia="黑体" w:cs="黑体"/>
                <w:i w:val="0"/>
                <w:iCs w:val="0"/>
                <w:color w:val="000000" w:themeColor="text1"/>
                <w:sz w:val="21"/>
                <w:szCs w:val="21"/>
                <w:u w:val="none"/>
                <w14:textFill>
                  <w14:solidFill>
                    <w14:schemeClr w14:val="tx1"/>
                  </w14:solidFill>
                </w14:textFill>
              </w:rPr>
            </w:pPr>
          </w:p>
        </w:tc>
        <w:tc>
          <w:tcPr>
            <w:tcW w:w="6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45C0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6</w:t>
            </w:r>
          </w:p>
        </w:tc>
        <w:tc>
          <w:tcPr>
            <w:tcW w:w="18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884E8A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数字经济核心产业增加值占地区生产总值比重</w:t>
            </w:r>
          </w:p>
        </w:tc>
        <w:tc>
          <w:tcPr>
            <w:tcW w:w="6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5FE1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w:t>
            </w:r>
          </w:p>
        </w:tc>
        <w:tc>
          <w:tcPr>
            <w:tcW w:w="10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24D9C2">
            <w:pPr>
              <w:keepNext w:val="0"/>
              <w:keepLines w:val="0"/>
              <w:pageBreakBefore w:val="0"/>
              <w:widowControl/>
              <w:kinsoku/>
              <w:wordWrap/>
              <w:overflowPunct/>
              <w:topLinePunct w:val="0"/>
              <w:autoSpaceDE/>
              <w:autoSpaceDN/>
              <w:bidi w:val="0"/>
              <w:adjustRightInd/>
              <w:snapToGrid/>
              <w:spacing w:line="280" w:lineRule="exact"/>
              <w:jc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F01850">
            <w:pPr>
              <w:keepNext w:val="0"/>
              <w:keepLines w:val="0"/>
              <w:pageBreakBefore w:val="0"/>
              <w:widowControl/>
              <w:kinsoku/>
              <w:wordWrap/>
              <w:overflowPunct/>
              <w:topLinePunct w:val="0"/>
              <w:autoSpaceDE/>
              <w:autoSpaceDN/>
              <w:bidi w:val="0"/>
              <w:adjustRightInd/>
              <w:snapToGrid/>
              <w:spacing w:line="280" w:lineRule="exact"/>
              <w:jc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eastAsia" w:ascii="Segoe UI" w:hAnsi="Segoe UI" w:eastAsia="宋体" w:cs="Segoe UI"/>
                <w:i w:val="0"/>
                <w:iCs w:val="0"/>
                <w:color w:val="000000" w:themeColor="text1"/>
                <w:sz w:val="21"/>
                <w:szCs w:val="21"/>
                <w:u w:val="none"/>
                <w:lang w:val="en-US" w:eastAsia="zh-CN"/>
                <w14:textFill>
                  <w14:solidFill>
                    <w14:schemeClr w14:val="tx1"/>
                  </w14:solidFill>
                </w14:textFill>
              </w:rPr>
              <w:t>3%</w:t>
            </w:r>
          </w:p>
        </w:tc>
        <w:tc>
          <w:tcPr>
            <w:tcW w:w="13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BAC1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BF17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预期性</w:t>
            </w:r>
          </w:p>
        </w:tc>
      </w:tr>
      <w:tr w14:paraId="0F225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7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C8F5A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宋体" w:eastAsia="黑体" w:cs="黑体"/>
                <w:i w:val="0"/>
                <w:iCs w:val="0"/>
                <w:color w:val="000000" w:themeColor="text1"/>
                <w:sz w:val="21"/>
                <w:szCs w:val="21"/>
                <w:u w:val="none"/>
                <w14:textFill>
                  <w14:solidFill>
                    <w14:schemeClr w14:val="tx1"/>
                  </w14:solidFill>
                </w14:textFill>
              </w:rPr>
            </w:pPr>
            <w:r>
              <w:rPr>
                <w:rFonts w:hint="eastAsia" w:ascii="黑体" w:hAnsi="宋体" w:eastAsia="黑体" w:cs="黑体"/>
                <w:i w:val="0"/>
                <w:iCs w:val="0"/>
                <w:color w:val="000000" w:themeColor="text1"/>
                <w:kern w:val="0"/>
                <w:sz w:val="21"/>
                <w:szCs w:val="21"/>
                <w:u w:val="none"/>
                <w:lang w:val="en-US" w:eastAsia="zh-CN" w:bidi="ar"/>
                <w14:textFill>
                  <w14:solidFill>
                    <w14:schemeClr w14:val="tx1"/>
                  </w14:solidFill>
                </w14:textFill>
              </w:rPr>
              <w:t>民生福祉</w:t>
            </w:r>
          </w:p>
        </w:tc>
        <w:tc>
          <w:tcPr>
            <w:tcW w:w="6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CC1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7</w:t>
            </w:r>
          </w:p>
        </w:tc>
        <w:tc>
          <w:tcPr>
            <w:tcW w:w="18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081988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城镇调查失业率</w:t>
            </w:r>
          </w:p>
        </w:tc>
        <w:tc>
          <w:tcPr>
            <w:tcW w:w="6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5BB8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w:t>
            </w:r>
          </w:p>
        </w:tc>
        <w:tc>
          <w:tcPr>
            <w:tcW w:w="10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67A6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6C63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13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0ABA0A">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Segoe UI" w:hAnsi="Segoe UI" w:eastAsia="宋体" w:cs="Segoe UI"/>
                <w:i w:val="0"/>
                <w:iCs w:val="0"/>
                <w:color w:val="000000" w:themeColor="text1"/>
                <w:sz w:val="21"/>
                <w:szCs w:val="21"/>
                <w:u w:val="none"/>
                <w:lang w:val="en-US" w:eastAsia="zh-CN"/>
                <w14:textFill>
                  <w14:solidFill>
                    <w14:schemeClr w14:val="tx1"/>
                  </w14:solidFill>
                </w14:textFill>
              </w:rPr>
              <w:t>5%</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69D7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预期性</w:t>
            </w:r>
          </w:p>
        </w:tc>
      </w:tr>
      <w:tr w14:paraId="7750C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4"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44ABF3">
            <w:pPr>
              <w:keepNext w:val="0"/>
              <w:keepLines w:val="0"/>
              <w:pageBreakBefore w:val="0"/>
              <w:widowControl/>
              <w:kinsoku/>
              <w:wordWrap/>
              <w:overflowPunct/>
              <w:topLinePunct w:val="0"/>
              <w:autoSpaceDE/>
              <w:autoSpaceDN/>
              <w:bidi w:val="0"/>
              <w:adjustRightInd/>
              <w:snapToGrid/>
              <w:spacing w:line="280" w:lineRule="exact"/>
              <w:jc w:val="center"/>
              <w:rPr>
                <w:rFonts w:hint="eastAsia" w:ascii="黑体" w:hAnsi="宋体" w:eastAsia="黑体" w:cs="黑体"/>
                <w:i w:val="0"/>
                <w:iCs w:val="0"/>
                <w:color w:val="000000" w:themeColor="text1"/>
                <w:sz w:val="21"/>
                <w:szCs w:val="21"/>
                <w:u w:val="none"/>
                <w14:textFill>
                  <w14:solidFill>
                    <w14:schemeClr w14:val="tx1"/>
                  </w14:solidFill>
                </w14:textFill>
              </w:rPr>
            </w:pPr>
          </w:p>
        </w:tc>
        <w:tc>
          <w:tcPr>
            <w:tcW w:w="6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005A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8</w:t>
            </w:r>
          </w:p>
        </w:tc>
        <w:tc>
          <w:tcPr>
            <w:tcW w:w="18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01F58E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居民人均可支配收入增长</w:t>
            </w:r>
          </w:p>
        </w:tc>
        <w:tc>
          <w:tcPr>
            <w:tcW w:w="6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E1E2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CBA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与经济增长基本同步</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48E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7D9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与经济增长基本同步</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1DF3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预期性</w:t>
            </w:r>
          </w:p>
        </w:tc>
      </w:tr>
      <w:tr w14:paraId="04972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7A2321">
            <w:pPr>
              <w:keepNext w:val="0"/>
              <w:keepLines w:val="0"/>
              <w:pageBreakBefore w:val="0"/>
              <w:widowControl/>
              <w:kinsoku/>
              <w:wordWrap/>
              <w:overflowPunct/>
              <w:topLinePunct w:val="0"/>
              <w:autoSpaceDE/>
              <w:autoSpaceDN/>
              <w:bidi w:val="0"/>
              <w:adjustRightInd/>
              <w:snapToGrid/>
              <w:spacing w:line="280" w:lineRule="exact"/>
              <w:jc w:val="center"/>
              <w:rPr>
                <w:rFonts w:hint="eastAsia" w:ascii="黑体" w:hAnsi="宋体" w:eastAsia="黑体" w:cs="黑体"/>
                <w:i w:val="0"/>
                <w:iCs w:val="0"/>
                <w:color w:val="000000" w:themeColor="text1"/>
                <w:sz w:val="21"/>
                <w:szCs w:val="21"/>
                <w:u w:val="none"/>
                <w14:textFill>
                  <w14:solidFill>
                    <w14:schemeClr w14:val="tx1"/>
                  </w14:solidFill>
                </w14:textFill>
              </w:rPr>
            </w:pPr>
          </w:p>
        </w:tc>
        <w:tc>
          <w:tcPr>
            <w:tcW w:w="6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F75F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9</w:t>
            </w:r>
          </w:p>
        </w:tc>
        <w:tc>
          <w:tcPr>
            <w:tcW w:w="18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FBBAC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劳动年龄人口平均受教育年限</w:t>
            </w:r>
          </w:p>
        </w:tc>
        <w:tc>
          <w:tcPr>
            <w:tcW w:w="6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E1B4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年</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B18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11.4</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FBE3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11.8</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288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7485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约束性</w:t>
            </w:r>
          </w:p>
        </w:tc>
      </w:tr>
      <w:tr w14:paraId="4419F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3"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ACFD88A">
            <w:pPr>
              <w:keepNext w:val="0"/>
              <w:keepLines w:val="0"/>
              <w:pageBreakBefore w:val="0"/>
              <w:widowControl/>
              <w:kinsoku/>
              <w:wordWrap/>
              <w:overflowPunct/>
              <w:topLinePunct w:val="0"/>
              <w:autoSpaceDE/>
              <w:autoSpaceDN/>
              <w:bidi w:val="0"/>
              <w:adjustRightInd/>
              <w:snapToGrid/>
              <w:spacing w:line="280" w:lineRule="exact"/>
              <w:jc w:val="center"/>
              <w:rPr>
                <w:rFonts w:hint="eastAsia" w:ascii="黑体" w:hAnsi="宋体" w:eastAsia="黑体" w:cs="黑体"/>
                <w:i w:val="0"/>
                <w:iCs w:val="0"/>
                <w:color w:val="000000" w:themeColor="text1"/>
                <w:sz w:val="21"/>
                <w:szCs w:val="21"/>
                <w:u w:val="none"/>
                <w14:textFill>
                  <w14:solidFill>
                    <w14:schemeClr w14:val="tx1"/>
                  </w14:solidFill>
                </w14:textFill>
              </w:rPr>
            </w:pPr>
          </w:p>
        </w:tc>
        <w:tc>
          <w:tcPr>
            <w:tcW w:w="60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006A7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10</w:t>
            </w:r>
          </w:p>
        </w:tc>
        <w:tc>
          <w:tcPr>
            <w:tcW w:w="9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D47D5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每千人口拥有医护数</w:t>
            </w:r>
          </w:p>
        </w:tc>
        <w:tc>
          <w:tcPr>
            <w:tcW w:w="9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4C6A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执业医师数</w:t>
            </w:r>
          </w:p>
        </w:tc>
        <w:tc>
          <w:tcPr>
            <w:tcW w:w="6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FD8A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人</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425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3.2</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2E90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3.7</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8F6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7485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预期性</w:t>
            </w:r>
          </w:p>
        </w:tc>
      </w:tr>
      <w:tr w14:paraId="6BBB2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3"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D75E3C">
            <w:pPr>
              <w:keepNext w:val="0"/>
              <w:keepLines w:val="0"/>
              <w:pageBreakBefore w:val="0"/>
              <w:widowControl/>
              <w:kinsoku/>
              <w:wordWrap/>
              <w:overflowPunct/>
              <w:topLinePunct w:val="0"/>
              <w:autoSpaceDE/>
              <w:autoSpaceDN/>
              <w:bidi w:val="0"/>
              <w:adjustRightInd/>
              <w:snapToGrid/>
              <w:spacing w:line="280" w:lineRule="exact"/>
              <w:jc w:val="center"/>
              <w:rPr>
                <w:rFonts w:hint="eastAsia" w:ascii="黑体" w:hAnsi="宋体" w:eastAsia="黑体" w:cs="黑体"/>
                <w:i w:val="0"/>
                <w:iCs w:val="0"/>
                <w:color w:val="000000" w:themeColor="text1"/>
                <w:sz w:val="21"/>
                <w:szCs w:val="21"/>
                <w:u w:val="none"/>
                <w14:textFill>
                  <w14:solidFill>
                    <w14:schemeClr w14:val="tx1"/>
                  </w14:solidFill>
                </w14:textFill>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3C55A6">
            <w:pPr>
              <w:keepNext w:val="0"/>
              <w:keepLines w:val="0"/>
              <w:pageBreakBefore w:val="0"/>
              <w:widowControl/>
              <w:kinsoku/>
              <w:wordWrap/>
              <w:overflowPunct/>
              <w:topLinePunct w:val="0"/>
              <w:autoSpaceDE/>
              <w:autoSpaceDN/>
              <w:bidi w:val="0"/>
              <w:adjustRightInd/>
              <w:snapToGrid/>
              <w:spacing w:line="280" w:lineRule="exact"/>
              <w:jc w:val="center"/>
              <w:rPr>
                <w:rFonts w:hint="default" w:ascii="Segoe UI" w:hAnsi="Segoe UI" w:eastAsia="Segoe UI" w:cs="Segoe UI"/>
                <w:i w:val="0"/>
                <w:iCs w:val="0"/>
                <w:color w:val="000000" w:themeColor="text1"/>
                <w:sz w:val="21"/>
                <w:szCs w:val="21"/>
                <w:u w:val="none"/>
                <w14:textFill>
                  <w14:solidFill>
                    <w14:schemeClr w14:val="tx1"/>
                  </w14:solidFill>
                </w14:textFill>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AD76CD2">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9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68DCB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注册护士数</w:t>
            </w:r>
          </w:p>
        </w:tc>
        <w:tc>
          <w:tcPr>
            <w:tcW w:w="6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82E9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人</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A6921">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4</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6C4B9B">
            <w:pPr>
              <w:keepNext w:val="0"/>
              <w:keepLines w:val="0"/>
              <w:pageBreakBefore w:val="0"/>
              <w:widowControl/>
              <w:kinsoku/>
              <w:wordWrap/>
              <w:overflowPunct/>
              <w:topLinePunct w:val="0"/>
              <w:autoSpaceDE/>
              <w:autoSpaceDN/>
              <w:bidi w:val="0"/>
              <w:adjustRightInd/>
              <w:snapToGrid/>
              <w:spacing w:line="280" w:lineRule="exact"/>
              <w:jc w:val="center"/>
              <w:rPr>
                <w:rFonts w:hint="default"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4.3</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557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4191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预期性</w:t>
            </w:r>
          </w:p>
        </w:tc>
      </w:tr>
      <w:tr w14:paraId="0D133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3"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FE515E9">
            <w:pPr>
              <w:keepNext w:val="0"/>
              <w:keepLines w:val="0"/>
              <w:pageBreakBefore w:val="0"/>
              <w:widowControl/>
              <w:kinsoku/>
              <w:wordWrap/>
              <w:overflowPunct/>
              <w:topLinePunct w:val="0"/>
              <w:autoSpaceDE/>
              <w:autoSpaceDN/>
              <w:bidi w:val="0"/>
              <w:adjustRightInd/>
              <w:snapToGrid/>
              <w:spacing w:line="280" w:lineRule="exact"/>
              <w:jc w:val="center"/>
              <w:rPr>
                <w:rFonts w:hint="eastAsia" w:ascii="黑体" w:hAnsi="宋体" w:eastAsia="黑体" w:cs="黑体"/>
                <w:i w:val="0"/>
                <w:iCs w:val="0"/>
                <w:color w:val="000000" w:themeColor="text1"/>
                <w:sz w:val="21"/>
                <w:szCs w:val="21"/>
                <w:u w:val="none"/>
                <w14:textFill>
                  <w14:solidFill>
                    <w14:schemeClr w14:val="tx1"/>
                  </w14:solidFill>
                </w14:textFill>
              </w:rPr>
            </w:pPr>
          </w:p>
        </w:tc>
        <w:tc>
          <w:tcPr>
            <w:tcW w:w="6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9E8B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11</w:t>
            </w:r>
          </w:p>
        </w:tc>
        <w:tc>
          <w:tcPr>
            <w:tcW w:w="18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68B754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养老机构护理型床位占比</w:t>
            </w:r>
          </w:p>
        </w:tc>
        <w:tc>
          <w:tcPr>
            <w:tcW w:w="629" w:type="dxa"/>
            <w:tcBorders>
              <w:top w:val="single" w:color="999999" w:sz="4" w:space="0"/>
              <w:left w:val="single" w:color="999999" w:sz="4" w:space="0"/>
              <w:bottom w:val="single" w:color="999999" w:sz="4" w:space="0"/>
              <w:right w:val="single" w:color="999999" w:sz="4" w:space="0"/>
            </w:tcBorders>
            <w:shd w:val="clear" w:color="auto" w:fill="auto"/>
            <w:vAlign w:val="center"/>
          </w:tcPr>
          <w:p w14:paraId="549907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themeColor="text1"/>
                <w:sz w:val="24"/>
                <w:szCs w:val="24"/>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3B69C">
            <w:pPr>
              <w:keepNext w:val="0"/>
              <w:keepLines w:val="0"/>
              <w:pageBreakBefore w:val="0"/>
              <w:widowControl/>
              <w:kinsoku/>
              <w:wordWrap/>
              <w:overflowPunct/>
              <w:topLinePunct w:val="0"/>
              <w:autoSpaceDE/>
              <w:autoSpaceDN/>
              <w:bidi w:val="0"/>
              <w:adjustRightInd/>
              <w:snapToGrid/>
              <w:spacing w:line="280" w:lineRule="exact"/>
              <w:jc w:val="center"/>
              <w:rPr>
                <w:rFonts w:hint="default"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60</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532297">
            <w:pPr>
              <w:keepNext w:val="0"/>
              <w:keepLines w:val="0"/>
              <w:pageBreakBefore w:val="0"/>
              <w:widowControl/>
              <w:kinsoku/>
              <w:wordWrap/>
              <w:overflowPunct/>
              <w:topLinePunct w:val="0"/>
              <w:autoSpaceDE/>
              <w:autoSpaceDN/>
              <w:bidi w:val="0"/>
              <w:adjustRightInd/>
              <w:snapToGrid/>
              <w:spacing w:line="280" w:lineRule="exact"/>
              <w:jc w:val="center"/>
              <w:rPr>
                <w:rFonts w:hint="default"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73</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57A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9E09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预期性</w:t>
            </w:r>
          </w:p>
        </w:tc>
      </w:tr>
      <w:tr w14:paraId="25E26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93"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04CBC0">
            <w:pPr>
              <w:keepNext w:val="0"/>
              <w:keepLines w:val="0"/>
              <w:pageBreakBefore w:val="0"/>
              <w:widowControl/>
              <w:kinsoku/>
              <w:wordWrap/>
              <w:overflowPunct/>
              <w:topLinePunct w:val="0"/>
              <w:autoSpaceDE/>
              <w:autoSpaceDN/>
              <w:bidi w:val="0"/>
              <w:adjustRightInd/>
              <w:snapToGrid/>
              <w:spacing w:line="280" w:lineRule="exact"/>
              <w:jc w:val="center"/>
              <w:rPr>
                <w:rFonts w:hint="eastAsia" w:ascii="黑体" w:hAnsi="宋体" w:eastAsia="黑体" w:cs="黑体"/>
                <w:i w:val="0"/>
                <w:iCs w:val="0"/>
                <w:color w:val="000000" w:themeColor="text1"/>
                <w:sz w:val="21"/>
                <w:szCs w:val="21"/>
                <w:u w:val="none"/>
                <w14:textFill>
                  <w14:solidFill>
                    <w14:schemeClr w14:val="tx1"/>
                  </w14:solidFill>
                </w14:textFill>
              </w:rPr>
            </w:pPr>
          </w:p>
        </w:tc>
        <w:tc>
          <w:tcPr>
            <w:tcW w:w="6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8596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12</w:t>
            </w:r>
          </w:p>
        </w:tc>
        <w:tc>
          <w:tcPr>
            <w:tcW w:w="18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52E8B1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3岁以下婴幼儿托育率</w:t>
            </w:r>
          </w:p>
        </w:tc>
        <w:tc>
          <w:tcPr>
            <w:tcW w:w="6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3810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8F4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0D82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CDA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在2025年基础上累计提高6个百分点</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37E9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预期性</w:t>
            </w:r>
          </w:p>
        </w:tc>
      </w:tr>
      <w:tr w14:paraId="789CC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6EEE6D">
            <w:pPr>
              <w:keepNext w:val="0"/>
              <w:keepLines w:val="0"/>
              <w:pageBreakBefore w:val="0"/>
              <w:widowControl/>
              <w:kinsoku/>
              <w:wordWrap/>
              <w:overflowPunct/>
              <w:topLinePunct w:val="0"/>
              <w:autoSpaceDE/>
              <w:autoSpaceDN/>
              <w:bidi w:val="0"/>
              <w:adjustRightInd/>
              <w:snapToGrid/>
              <w:spacing w:line="280" w:lineRule="exact"/>
              <w:jc w:val="center"/>
              <w:rPr>
                <w:rFonts w:hint="eastAsia" w:ascii="黑体" w:hAnsi="宋体" w:eastAsia="黑体" w:cs="黑体"/>
                <w:i w:val="0"/>
                <w:iCs w:val="0"/>
                <w:color w:val="000000" w:themeColor="text1"/>
                <w:sz w:val="21"/>
                <w:szCs w:val="21"/>
                <w:u w:val="none"/>
                <w14:textFill>
                  <w14:solidFill>
                    <w14:schemeClr w14:val="tx1"/>
                  </w14:solidFill>
                </w14:textFill>
              </w:rPr>
            </w:pPr>
          </w:p>
        </w:tc>
        <w:tc>
          <w:tcPr>
            <w:tcW w:w="6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BDCC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13</w:t>
            </w:r>
          </w:p>
        </w:tc>
        <w:tc>
          <w:tcPr>
            <w:tcW w:w="18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89960B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人均预期寿命</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6F6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岁</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0DA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81.35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62F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81.8</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E6C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EBF0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预期性</w:t>
            </w:r>
          </w:p>
        </w:tc>
      </w:tr>
      <w:tr w14:paraId="5BB85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3" w:hRule="atLeast"/>
        </w:trPr>
        <w:tc>
          <w:tcPr>
            <w:tcW w:w="77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939C3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宋体" w:eastAsia="黑体" w:cs="黑体"/>
                <w:i w:val="0"/>
                <w:iCs w:val="0"/>
                <w:color w:val="000000" w:themeColor="text1"/>
                <w:sz w:val="21"/>
                <w:szCs w:val="21"/>
                <w:u w:val="none"/>
                <w14:textFill>
                  <w14:solidFill>
                    <w14:schemeClr w14:val="tx1"/>
                  </w14:solidFill>
                </w14:textFill>
              </w:rPr>
            </w:pPr>
            <w:r>
              <w:rPr>
                <w:rFonts w:hint="eastAsia" w:ascii="黑体" w:hAnsi="宋体" w:eastAsia="黑体" w:cs="黑体"/>
                <w:i w:val="0"/>
                <w:iCs w:val="0"/>
                <w:color w:val="000000" w:themeColor="text1"/>
                <w:kern w:val="0"/>
                <w:sz w:val="21"/>
                <w:szCs w:val="21"/>
                <w:u w:val="none"/>
                <w:lang w:val="en-US" w:eastAsia="zh-CN" w:bidi="ar"/>
                <w14:textFill>
                  <w14:solidFill>
                    <w14:schemeClr w14:val="tx1"/>
                  </w14:solidFill>
                </w14:textFill>
              </w:rPr>
              <w:t>生态环境</w:t>
            </w:r>
          </w:p>
        </w:tc>
        <w:tc>
          <w:tcPr>
            <w:tcW w:w="6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1F0D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14</w:t>
            </w:r>
          </w:p>
        </w:tc>
        <w:tc>
          <w:tcPr>
            <w:tcW w:w="18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4CF446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单位GDP二氧化碳排放降低</w:t>
            </w:r>
          </w:p>
        </w:tc>
        <w:tc>
          <w:tcPr>
            <w:tcW w:w="6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A464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D30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10C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13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D422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达到省定考核目标</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AFCD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约束性</w:t>
            </w:r>
          </w:p>
        </w:tc>
      </w:tr>
      <w:tr w14:paraId="2875E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3"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076CB3F">
            <w:pPr>
              <w:keepNext w:val="0"/>
              <w:keepLines w:val="0"/>
              <w:pageBreakBefore w:val="0"/>
              <w:widowControl/>
              <w:kinsoku/>
              <w:wordWrap/>
              <w:overflowPunct/>
              <w:topLinePunct w:val="0"/>
              <w:autoSpaceDE/>
              <w:autoSpaceDN/>
              <w:bidi w:val="0"/>
              <w:adjustRightInd/>
              <w:snapToGrid/>
              <w:spacing w:line="280" w:lineRule="exact"/>
              <w:jc w:val="center"/>
              <w:rPr>
                <w:rFonts w:hint="eastAsia" w:ascii="黑体" w:hAnsi="宋体" w:eastAsia="黑体" w:cs="黑体"/>
                <w:i w:val="0"/>
                <w:iCs w:val="0"/>
                <w:color w:val="000000" w:themeColor="text1"/>
                <w:sz w:val="21"/>
                <w:szCs w:val="21"/>
                <w:u w:val="none"/>
                <w14:textFill>
                  <w14:solidFill>
                    <w14:schemeClr w14:val="tx1"/>
                  </w14:solidFill>
                </w14:textFill>
              </w:rPr>
            </w:pPr>
          </w:p>
        </w:tc>
        <w:tc>
          <w:tcPr>
            <w:tcW w:w="6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AD84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15</w:t>
            </w:r>
          </w:p>
        </w:tc>
        <w:tc>
          <w:tcPr>
            <w:tcW w:w="18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0D8D2E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非化石能源占能源消费总量比重</w:t>
            </w:r>
          </w:p>
        </w:tc>
        <w:tc>
          <w:tcPr>
            <w:tcW w:w="6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AEBC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ECB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893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114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达到省定考核目标</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4035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约束性</w:t>
            </w:r>
          </w:p>
        </w:tc>
      </w:tr>
      <w:tr w14:paraId="6E441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6"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2E7E8D">
            <w:pPr>
              <w:keepNext w:val="0"/>
              <w:keepLines w:val="0"/>
              <w:pageBreakBefore w:val="0"/>
              <w:widowControl/>
              <w:kinsoku/>
              <w:wordWrap/>
              <w:overflowPunct/>
              <w:topLinePunct w:val="0"/>
              <w:autoSpaceDE/>
              <w:autoSpaceDN/>
              <w:bidi w:val="0"/>
              <w:adjustRightInd/>
              <w:snapToGrid/>
              <w:spacing w:line="280" w:lineRule="exact"/>
              <w:jc w:val="center"/>
              <w:rPr>
                <w:rFonts w:hint="eastAsia" w:ascii="黑体" w:hAnsi="宋体" w:eastAsia="黑体" w:cs="黑体"/>
                <w:i w:val="0"/>
                <w:iCs w:val="0"/>
                <w:color w:val="000000" w:themeColor="text1"/>
                <w:sz w:val="21"/>
                <w:szCs w:val="21"/>
                <w:u w:val="none"/>
                <w14:textFill>
                  <w14:solidFill>
                    <w14:schemeClr w14:val="tx1"/>
                  </w14:solidFill>
                </w14:textFill>
              </w:rPr>
            </w:pPr>
          </w:p>
        </w:tc>
        <w:tc>
          <w:tcPr>
            <w:tcW w:w="6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96B8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16</w:t>
            </w:r>
          </w:p>
        </w:tc>
        <w:tc>
          <w:tcPr>
            <w:tcW w:w="18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D7F0F8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园区空气质量</w:t>
            </w:r>
            <w:r>
              <w:rPr>
                <w:rFonts w:ascii="Segoe UI" w:hAnsi="Segoe UI" w:eastAsia="Segoe UI" w:cs="Segoe UI"/>
                <w:i w:val="0"/>
                <w:iCs w:val="0"/>
                <w:caps w:val="0"/>
                <w:color w:val="000000" w:themeColor="text1"/>
                <w:spacing w:val="0"/>
                <w:sz w:val="24"/>
                <w:szCs w:val="24"/>
                <w:shd w:val="clear" w:fill="FFFFFF"/>
                <w14:textFill>
                  <w14:solidFill>
                    <w14:schemeClr w14:val="tx1"/>
                  </w14:solidFill>
                </w14:textFill>
              </w:rPr>
              <w:t>PM2.5</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浓度</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7B3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微克/立方米</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AC1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FB4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达到省定考核目标</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E8B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E5DF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约束性</w:t>
            </w:r>
          </w:p>
        </w:tc>
      </w:tr>
      <w:tr w14:paraId="080AE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8"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9CD8A6">
            <w:pPr>
              <w:keepNext w:val="0"/>
              <w:keepLines w:val="0"/>
              <w:pageBreakBefore w:val="0"/>
              <w:widowControl/>
              <w:kinsoku/>
              <w:wordWrap/>
              <w:overflowPunct/>
              <w:topLinePunct w:val="0"/>
              <w:autoSpaceDE/>
              <w:autoSpaceDN/>
              <w:bidi w:val="0"/>
              <w:adjustRightInd/>
              <w:snapToGrid/>
              <w:spacing w:line="280" w:lineRule="exact"/>
              <w:jc w:val="center"/>
              <w:rPr>
                <w:rFonts w:hint="eastAsia" w:ascii="黑体" w:hAnsi="宋体" w:eastAsia="黑体" w:cs="黑体"/>
                <w:i w:val="0"/>
                <w:iCs w:val="0"/>
                <w:color w:val="000000" w:themeColor="text1"/>
                <w:sz w:val="21"/>
                <w:szCs w:val="21"/>
                <w:u w:val="none"/>
                <w14:textFill>
                  <w14:solidFill>
                    <w14:schemeClr w14:val="tx1"/>
                  </w14:solidFill>
                </w14:textFill>
              </w:rPr>
            </w:pPr>
          </w:p>
        </w:tc>
        <w:tc>
          <w:tcPr>
            <w:tcW w:w="6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D55F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17</w:t>
            </w:r>
          </w:p>
        </w:tc>
        <w:tc>
          <w:tcPr>
            <w:tcW w:w="18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7B375C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优良水体比例</w:t>
            </w:r>
          </w:p>
        </w:tc>
        <w:tc>
          <w:tcPr>
            <w:tcW w:w="6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4644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0AA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达到省定考核目标</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FAB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达到省定考核目标</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CC7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B32B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约束性</w:t>
            </w:r>
          </w:p>
        </w:tc>
      </w:tr>
      <w:tr w14:paraId="66B78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77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522EE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宋体" w:eastAsia="黑体" w:cs="黑体"/>
                <w:i w:val="0"/>
                <w:iCs w:val="0"/>
                <w:color w:val="000000" w:themeColor="text1"/>
                <w:sz w:val="21"/>
                <w:szCs w:val="21"/>
                <w:u w:val="none"/>
                <w14:textFill>
                  <w14:solidFill>
                    <w14:schemeClr w14:val="tx1"/>
                  </w14:solidFill>
                </w14:textFill>
              </w:rPr>
            </w:pPr>
            <w:r>
              <w:rPr>
                <w:rFonts w:hint="eastAsia" w:ascii="黑体" w:hAnsi="宋体" w:eastAsia="黑体" w:cs="黑体"/>
                <w:i w:val="0"/>
                <w:iCs w:val="0"/>
                <w:color w:val="000000" w:themeColor="text1"/>
                <w:kern w:val="0"/>
                <w:sz w:val="21"/>
                <w:szCs w:val="21"/>
                <w:u w:val="none"/>
                <w:lang w:val="en-US" w:eastAsia="zh-CN" w:bidi="ar"/>
                <w14:textFill>
                  <w14:solidFill>
                    <w14:schemeClr w14:val="tx1"/>
                  </w14:solidFill>
                </w14:textFill>
              </w:rPr>
              <w:t>安全保障</w:t>
            </w:r>
          </w:p>
        </w:tc>
        <w:tc>
          <w:tcPr>
            <w:tcW w:w="6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24D8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1</w:t>
            </w:r>
            <w:r>
              <w:rPr>
                <w:rFonts w:hint="eastAsia"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8</w:t>
            </w:r>
          </w:p>
        </w:tc>
        <w:tc>
          <w:tcPr>
            <w:tcW w:w="18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377955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粮食综合生产能力</w:t>
            </w:r>
          </w:p>
        </w:tc>
        <w:tc>
          <w:tcPr>
            <w:tcW w:w="6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D61F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亿斤</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4FD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6.4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C60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6.5</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CA7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0BA6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约束性</w:t>
            </w:r>
          </w:p>
        </w:tc>
      </w:tr>
      <w:tr w14:paraId="17390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7"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82E5734">
            <w:pPr>
              <w:keepNext w:val="0"/>
              <w:keepLines w:val="0"/>
              <w:pageBreakBefore w:val="0"/>
              <w:widowControl/>
              <w:kinsoku/>
              <w:wordWrap/>
              <w:overflowPunct/>
              <w:topLinePunct w:val="0"/>
              <w:autoSpaceDE/>
              <w:autoSpaceDN/>
              <w:bidi w:val="0"/>
              <w:adjustRightInd/>
              <w:snapToGrid/>
              <w:spacing w:line="280" w:lineRule="exact"/>
              <w:jc w:val="center"/>
              <w:rPr>
                <w:rFonts w:hint="eastAsia" w:ascii="黑体" w:hAnsi="宋体" w:eastAsia="黑体" w:cs="黑体"/>
                <w:i w:val="0"/>
                <w:iCs w:val="0"/>
                <w:color w:val="000000" w:themeColor="text1"/>
                <w:sz w:val="21"/>
                <w:szCs w:val="21"/>
                <w:u w:val="none"/>
                <w14:textFill>
                  <w14:solidFill>
                    <w14:schemeClr w14:val="tx1"/>
                  </w14:solidFill>
                </w14:textFill>
              </w:rPr>
            </w:pPr>
          </w:p>
        </w:tc>
        <w:tc>
          <w:tcPr>
            <w:tcW w:w="6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9F6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lang w:val="en-US"/>
                <w14:textFill>
                  <w14:solidFill>
                    <w14:schemeClr w14:val="tx1"/>
                  </w14:solidFill>
                </w14:textFill>
              </w:rPr>
            </w:pPr>
            <w:r>
              <w:rPr>
                <w:rFonts w:hint="eastAsia"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19</w:t>
            </w:r>
          </w:p>
        </w:tc>
        <w:tc>
          <w:tcPr>
            <w:tcW w:w="18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69133E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能源综合保障能力</w:t>
            </w:r>
          </w:p>
        </w:tc>
        <w:tc>
          <w:tcPr>
            <w:tcW w:w="6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1A2B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万吨标煤</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592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C81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达到市定目标</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D75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2415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约束性</w:t>
            </w:r>
          </w:p>
        </w:tc>
      </w:tr>
      <w:tr w14:paraId="13002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77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918A7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宋体" w:eastAsia="黑体" w:cs="黑体"/>
                <w:i w:val="0"/>
                <w:iCs w:val="0"/>
                <w:color w:val="000000" w:themeColor="text1"/>
                <w:sz w:val="21"/>
                <w:szCs w:val="21"/>
                <w:u w:val="none"/>
                <w14:textFill>
                  <w14:solidFill>
                    <w14:schemeClr w14:val="tx1"/>
                  </w14:solidFill>
                </w14:textFill>
              </w:rPr>
            </w:pPr>
            <w:r>
              <w:rPr>
                <w:rFonts w:hint="eastAsia" w:ascii="黑体" w:hAnsi="宋体" w:eastAsia="黑体" w:cs="黑体"/>
                <w:i w:val="0"/>
                <w:iCs w:val="0"/>
                <w:color w:val="000000" w:themeColor="text1"/>
                <w:kern w:val="0"/>
                <w:sz w:val="21"/>
                <w:szCs w:val="21"/>
                <w:u w:val="none"/>
                <w:lang w:val="en-US" w:eastAsia="zh-CN" w:bidi="ar"/>
                <w14:textFill>
                  <w14:solidFill>
                    <w14:schemeClr w14:val="tx1"/>
                  </w14:solidFill>
                </w14:textFill>
              </w:rPr>
              <w:t>园区特色指标</w:t>
            </w:r>
          </w:p>
        </w:tc>
        <w:tc>
          <w:tcPr>
            <w:tcW w:w="6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DE61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lang w:val="en-US"/>
                <w14:textFill>
                  <w14:solidFill>
                    <w14:schemeClr w14:val="tx1"/>
                  </w14:solidFill>
                </w14:textFill>
              </w:rPr>
            </w:pPr>
            <w:r>
              <w:rPr>
                <w:rFonts w:hint="eastAsia"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20</w:t>
            </w:r>
          </w:p>
        </w:tc>
        <w:tc>
          <w:tcPr>
            <w:tcW w:w="18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FAAD8D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规模以上工业产值</w:t>
            </w:r>
          </w:p>
        </w:tc>
        <w:tc>
          <w:tcPr>
            <w:tcW w:w="6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C9E9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亿元</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42D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514.6</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CE14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1000</w:t>
            </w:r>
          </w:p>
        </w:tc>
        <w:tc>
          <w:tcPr>
            <w:tcW w:w="13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787F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16</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以上</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06E6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预期性</w:t>
            </w:r>
          </w:p>
        </w:tc>
      </w:tr>
      <w:tr w14:paraId="1FB10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CA94FA">
            <w:pPr>
              <w:keepNext w:val="0"/>
              <w:keepLines w:val="0"/>
              <w:pageBreakBefore w:val="0"/>
              <w:widowControl/>
              <w:kinsoku/>
              <w:wordWrap/>
              <w:overflowPunct/>
              <w:topLinePunct w:val="0"/>
              <w:autoSpaceDE/>
              <w:autoSpaceDN/>
              <w:bidi w:val="0"/>
              <w:adjustRightInd/>
              <w:snapToGrid/>
              <w:spacing w:line="280" w:lineRule="exact"/>
              <w:jc w:val="center"/>
              <w:rPr>
                <w:rFonts w:hint="eastAsia" w:ascii="黑体" w:hAnsi="宋体" w:eastAsia="黑体" w:cs="黑体"/>
                <w:i w:val="0"/>
                <w:iCs w:val="0"/>
                <w:color w:val="000000" w:themeColor="text1"/>
                <w:sz w:val="21"/>
                <w:szCs w:val="21"/>
                <w:u w:val="none"/>
                <w14:textFill>
                  <w14:solidFill>
                    <w14:schemeClr w14:val="tx1"/>
                  </w14:solidFill>
                </w14:textFill>
              </w:rPr>
            </w:pPr>
          </w:p>
        </w:tc>
        <w:tc>
          <w:tcPr>
            <w:tcW w:w="6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C6B3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2</w:t>
            </w:r>
            <w:r>
              <w:rPr>
                <w:rFonts w:hint="eastAsia"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1</w:t>
            </w:r>
          </w:p>
        </w:tc>
        <w:tc>
          <w:tcPr>
            <w:tcW w:w="18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1D6E90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四上企业数量</w:t>
            </w:r>
          </w:p>
        </w:tc>
        <w:tc>
          <w:tcPr>
            <w:tcW w:w="6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1AB4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个</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B9F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57</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7E9B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100</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811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E269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预期性</w:t>
            </w:r>
          </w:p>
        </w:tc>
      </w:tr>
      <w:tr w14:paraId="010BF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247F9C">
            <w:pPr>
              <w:keepNext w:val="0"/>
              <w:keepLines w:val="0"/>
              <w:pageBreakBefore w:val="0"/>
              <w:widowControl/>
              <w:kinsoku/>
              <w:wordWrap/>
              <w:overflowPunct/>
              <w:topLinePunct w:val="0"/>
              <w:autoSpaceDE/>
              <w:autoSpaceDN/>
              <w:bidi w:val="0"/>
              <w:adjustRightInd/>
              <w:snapToGrid/>
              <w:spacing w:line="280" w:lineRule="exact"/>
              <w:jc w:val="center"/>
              <w:rPr>
                <w:rFonts w:hint="eastAsia" w:ascii="黑体" w:hAnsi="宋体" w:eastAsia="黑体" w:cs="黑体"/>
                <w:i w:val="0"/>
                <w:iCs w:val="0"/>
                <w:color w:val="000000" w:themeColor="text1"/>
                <w:sz w:val="21"/>
                <w:szCs w:val="21"/>
                <w:u w:val="none"/>
                <w14:textFill>
                  <w14:solidFill>
                    <w14:schemeClr w14:val="tx1"/>
                  </w14:solidFill>
                </w14:textFill>
              </w:rPr>
            </w:pPr>
          </w:p>
        </w:tc>
        <w:tc>
          <w:tcPr>
            <w:tcW w:w="6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9768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2</w:t>
            </w:r>
            <w:r>
              <w:rPr>
                <w:rFonts w:hint="eastAsia"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2</w:t>
            </w:r>
          </w:p>
        </w:tc>
        <w:tc>
          <w:tcPr>
            <w:tcW w:w="18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2ADFAA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规上工业企业数量</w:t>
            </w:r>
          </w:p>
        </w:tc>
        <w:tc>
          <w:tcPr>
            <w:tcW w:w="6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DC36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个</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7F0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27</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E241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60</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AFA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1E60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预期性</w:t>
            </w:r>
          </w:p>
        </w:tc>
      </w:tr>
      <w:tr w14:paraId="47CFE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D5BC59E">
            <w:pPr>
              <w:keepNext w:val="0"/>
              <w:keepLines w:val="0"/>
              <w:pageBreakBefore w:val="0"/>
              <w:widowControl/>
              <w:kinsoku/>
              <w:wordWrap/>
              <w:overflowPunct/>
              <w:topLinePunct w:val="0"/>
              <w:autoSpaceDE/>
              <w:autoSpaceDN/>
              <w:bidi w:val="0"/>
              <w:adjustRightInd/>
              <w:snapToGrid/>
              <w:spacing w:line="280" w:lineRule="exact"/>
              <w:jc w:val="center"/>
              <w:rPr>
                <w:rFonts w:hint="eastAsia" w:ascii="黑体" w:hAnsi="宋体" w:eastAsia="黑体" w:cs="黑体"/>
                <w:i w:val="0"/>
                <w:iCs w:val="0"/>
                <w:color w:val="000000" w:themeColor="text1"/>
                <w:sz w:val="21"/>
                <w:szCs w:val="21"/>
                <w:u w:val="none"/>
                <w14:textFill>
                  <w14:solidFill>
                    <w14:schemeClr w14:val="tx1"/>
                  </w14:solidFill>
                </w14:textFill>
              </w:rPr>
            </w:pPr>
          </w:p>
        </w:tc>
        <w:tc>
          <w:tcPr>
            <w:tcW w:w="6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43A1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2</w:t>
            </w:r>
            <w:r>
              <w:rPr>
                <w:rFonts w:hint="eastAsia"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3</w:t>
            </w:r>
          </w:p>
        </w:tc>
        <w:tc>
          <w:tcPr>
            <w:tcW w:w="18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22AA8B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高新产业增加值</w:t>
            </w:r>
          </w:p>
        </w:tc>
        <w:tc>
          <w:tcPr>
            <w:tcW w:w="6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189C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亿元</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523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109</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9BF6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150</w:t>
            </w:r>
          </w:p>
        </w:tc>
        <w:tc>
          <w:tcPr>
            <w:tcW w:w="13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8737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6%</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左右</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5817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预期性</w:t>
            </w:r>
          </w:p>
        </w:tc>
      </w:tr>
      <w:tr w14:paraId="58239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62C81F">
            <w:pPr>
              <w:keepNext w:val="0"/>
              <w:keepLines w:val="0"/>
              <w:pageBreakBefore w:val="0"/>
              <w:widowControl/>
              <w:kinsoku/>
              <w:wordWrap/>
              <w:overflowPunct/>
              <w:topLinePunct w:val="0"/>
              <w:autoSpaceDE/>
              <w:autoSpaceDN/>
              <w:bidi w:val="0"/>
              <w:adjustRightInd/>
              <w:snapToGrid/>
              <w:spacing w:line="280" w:lineRule="exact"/>
              <w:jc w:val="center"/>
              <w:rPr>
                <w:rFonts w:hint="eastAsia" w:ascii="黑体" w:hAnsi="宋体" w:eastAsia="黑体" w:cs="黑体"/>
                <w:i w:val="0"/>
                <w:iCs w:val="0"/>
                <w:color w:val="000000" w:themeColor="text1"/>
                <w:sz w:val="21"/>
                <w:szCs w:val="21"/>
                <w:u w:val="none"/>
                <w14:textFill>
                  <w14:solidFill>
                    <w14:schemeClr w14:val="tx1"/>
                  </w14:solidFill>
                </w14:textFill>
              </w:rPr>
            </w:pPr>
          </w:p>
        </w:tc>
        <w:tc>
          <w:tcPr>
            <w:tcW w:w="6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9613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2</w:t>
            </w:r>
            <w:r>
              <w:rPr>
                <w:rFonts w:hint="eastAsia"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4</w:t>
            </w:r>
          </w:p>
        </w:tc>
        <w:tc>
          <w:tcPr>
            <w:tcW w:w="18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BAF86C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进出口额</w:t>
            </w:r>
          </w:p>
        </w:tc>
        <w:tc>
          <w:tcPr>
            <w:tcW w:w="6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1770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亿元</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0EE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355</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212F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448</w:t>
            </w:r>
          </w:p>
        </w:tc>
        <w:tc>
          <w:tcPr>
            <w:tcW w:w="13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48E9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10</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以上</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9225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预期性</w:t>
            </w:r>
          </w:p>
        </w:tc>
      </w:tr>
      <w:tr w14:paraId="1F800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0C0F59">
            <w:pPr>
              <w:keepNext w:val="0"/>
              <w:keepLines w:val="0"/>
              <w:pageBreakBefore w:val="0"/>
              <w:widowControl/>
              <w:kinsoku/>
              <w:wordWrap/>
              <w:overflowPunct/>
              <w:topLinePunct w:val="0"/>
              <w:autoSpaceDE/>
              <w:autoSpaceDN/>
              <w:bidi w:val="0"/>
              <w:adjustRightInd/>
              <w:snapToGrid/>
              <w:spacing w:line="280" w:lineRule="exact"/>
              <w:jc w:val="center"/>
              <w:rPr>
                <w:rFonts w:hint="eastAsia" w:ascii="黑体" w:hAnsi="宋体" w:eastAsia="黑体" w:cs="黑体"/>
                <w:i w:val="0"/>
                <w:iCs w:val="0"/>
                <w:color w:val="000000" w:themeColor="text1"/>
                <w:sz w:val="21"/>
                <w:szCs w:val="21"/>
                <w:u w:val="none"/>
                <w14:textFill>
                  <w14:solidFill>
                    <w14:schemeClr w14:val="tx1"/>
                  </w14:solidFill>
                </w14:textFill>
              </w:rPr>
            </w:pPr>
          </w:p>
        </w:tc>
        <w:tc>
          <w:tcPr>
            <w:tcW w:w="6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0432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2</w:t>
            </w:r>
            <w:r>
              <w:rPr>
                <w:rFonts w:hint="eastAsia"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5</w:t>
            </w:r>
          </w:p>
        </w:tc>
        <w:tc>
          <w:tcPr>
            <w:tcW w:w="18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815B0C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综保区一线进出口额</w:t>
            </w:r>
          </w:p>
        </w:tc>
        <w:tc>
          <w:tcPr>
            <w:tcW w:w="6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C550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亿元</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F81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71.77</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9067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166</w:t>
            </w:r>
          </w:p>
        </w:tc>
        <w:tc>
          <w:tcPr>
            <w:tcW w:w="13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01C1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30</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以上</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DA35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预期性</w:t>
            </w:r>
          </w:p>
        </w:tc>
      </w:tr>
      <w:tr w14:paraId="7DF33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3E44B49">
            <w:pPr>
              <w:keepNext w:val="0"/>
              <w:keepLines w:val="0"/>
              <w:pageBreakBefore w:val="0"/>
              <w:widowControl/>
              <w:kinsoku/>
              <w:wordWrap/>
              <w:overflowPunct/>
              <w:topLinePunct w:val="0"/>
              <w:autoSpaceDE/>
              <w:autoSpaceDN/>
              <w:bidi w:val="0"/>
              <w:adjustRightInd/>
              <w:snapToGrid/>
              <w:spacing w:line="280" w:lineRule="exact"/>
              <w:jc w:val="center"/>
              <w:rPr>
                <w:rFonts w:hint="eastAsia" w:ascii="黑体" w:hAnsi="宋体" w:eastAsia="黑体" w:cs="黑体"/>
                <w:i w:val="0"/>
                <w:iCs w:val="0"/>
                <w:color w:val="000000" w:themeColor="text1"/>
                <w:sz w:val="21"/>
                <w:szCs w:val="21"/>
                <w:u w:val="none"/>
                <w14:textFill>
                  <w14:solidFill>
                    <w14:schemeClr w14:val="tx1"/>
                  </w14:solidFill>
                </w14:textFill>
              </w:rPr>
            </w:pPr>
          </w:p>
        </w:tc>
        <w:tc>
          <w:tcPr>
            <w:tcW w:w="6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BD3B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2</w:t>
            </w:r>
            <w:r>
              <w:rPr>
                <w:rFonts w:hint="eastAsia"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6</w:t>
            </w:r>
          </w:p>
        </w:tc>
        <w:tc>
          <w:tcPr>
            <w:tcW w:w="18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4FE7B5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跨境电商进出口总值</w:t>
            </w:r>
          </w:p>
        </w:tc>
        <w:tc>
          <w:tcPr>
            <w:tcW w:w="6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D043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亿元</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005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25.9</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6D79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57</w:t>
            </w:r>
          </w:p>
        </w:tc>
        <w:tc>
          <w:tcPr>
            <w:tcW w:w="13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A0B7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25</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10FC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预期性</w:t>
            </w:r>
          </w:p>
        </w:tc>
      </w:tr>
      <w:tr w14:paraId="4BB10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77C3ED">
            <w:pPr>
              <w:keepNext w:val="0"/>
              <w:keepLines w:val="0"/>
              <w:pageBreakBefore w:val="0"/>
              <w:widowControl/>
              <w:kinsoku/>
              <w:wordWrap/>
              <w:overflowPunct/>
              <w:topLinePunct w:val="0"/>
              <w:autoSpaceDE/>
              <w:autoSpaceDN/>
              <w:bidi w:val="0"/>
              <w:adjustRightInd/>
              <w:snapToGrid/>
              <w:spacing w:line="280" w:lineRule="exact"/>
              <w:jc w:val="center"/>
              <w:rPr>
                <w:rFonts w:hint="eastAsia" w:ascii="黑体" w:hAnsi="宋体" w:eastAsia="黑体" w:cs="黑体"/>
                <w:i w:val="0"/>
                <w:iCs w:val="0"/>
                <w:color w:val="000000" w:themeColor="text1"/>
                <w:sz w:val="21"/>
                <w:szCs w:val="21"/>
                <w:u w:val="none"/>
                <w14:textFill>
                  <w14:solidFill>
                    <w14:schemeClr w14:val="tx1"/>
                  </w14:solidFill>
                </w14:textFill>
              </w:rPr>
            </w:pPr>
          </w:p>
        </w:tc>
        <w:tc>
          <w:tcPr>
            <w:tcW w:w="6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E3B3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2</w:t>
            </w:r>
            <w:r>
              <w:rPr>
                <w:rFonts w:hint="eastAsia"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7</w:t>
            </w:r>
          </w:p>
        </w:tc>
        <w:tc>
          <w:tcPr>
            <w:tcW w:w="18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4FEC2F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货物吞吐量</w:t>
            </w:r>
          </w:p>
        </w:tc>
        <w:tc>
          <w:tcPr>
            <w:tcW w:w="6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92F6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万吨</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1A9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2600</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EABA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10000</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8DB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CD42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预期性</w:t>
            </w:r>
          </w:p>
        </w:tc>
      </w:tr>
      <w:tr w14:paraId="5F42A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E5A880">
            <w:pPr>
              <w:jc w:val="center"/>
              <w:rPr>
                <w:rFonts w:hint="eastAsia" w:ascii="黑体" w:hAnsi="宋体" w:eastAsia="黑体" w:cs="黑体"/>
                <w:i w:val="0"/>
                <w:iCs w:val="0"/>
                <w:color w:val="000000" w:themeColor="text1"/>
                <w:sz w:val="21"/>
                <w:szCs w:val="21"/>
                <w:u w:val="none"/>
                <w14:textFill>
                  <w14:solidFill>
                    <w14:schemeClr w14:val="tx1"/>
                  </w14:solidFill>
                </w14:textFill>
              </w:rPr>
            </w:pPr>
          </w:p>
        </w:tc>
        <w:tc>
          <w:tcPr>
            <w:tcW w:w="6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53A58E">
            <w:pPr>
              <w:keepNext w:val="0"/>
              <w:keepLines w:val="0"/>
              <w:widowControl/>
              <w:suppressLineNumbers w:val="0"/>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2</w:t>
            </w:r>
            <w:r>
              <w:rPr>
                <w:rFonts w:hint="eastAsia"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8</w:t>
            </w:r>
          </w:p>
        </w:tc>
        <w:tc>
          <w:tcPr>
            <w:tcW w:w="187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46A88FC">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铁水联运货运量</w:t>
            </w:r>
          </w:p>
        </w:tc>
        <w:tc>
          <w:tcPr>
            <w:tcW w:w="6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CB6B1C">
            <w:pPr>
              <w:keepNext w:val="0"/>
              <w:keepLines w:val="0"/>
              <w:widowControl/>
              <w:suppressLineNumbers w:val="0"/>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万吨</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508B3">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230</w:t>
            </w:r>
          </w:p>
        </w:tc>
        <w:tc>
          <w:tcPr>
            <w:tcW w:w="12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37A831">
            <w:pPr>
              <w:keepNext w:val="0"/>
              <w:keepLines w:val="0"/>
              <w:widowControl/>
              <w:suppressLineNumbers w:val="0"/>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300</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BA70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71563">
            <w:pPr>
              <w:keepNext w:val="0"/>
              <w:keepLines w:val="0"/>
              <w:widowControl/>
              <w:suppressLineNumbers w:val="0"/>
              <w:jc w:val="center"/>
              <w:textAlignment w:val="center"/>
              <w:rPr>
                <w:rFonts w:hint="default" w:ascii="Segoe UI" w:hAnsi="Segoe UI" w:eastAsia="Segoe UI" w:cs="Segoe UI"/>
                <w:i w:val="0"/>
                <w:iCs w:val="0"/>
                <w:color w:val="000000" w:themeColor="text1"/>
                <w:sz w:val="21"/>
                <w:szCs w:val="21"/>
                <w:u w:val="none"/>
                <w14:textFill>
                  <w14:solidFill>
                    <w14:schemeClr w14:val="tx1"/>
                  </w14:solidFill>
                </w14:textFill>
              </w:rPr>
            </w:pPr>
            <w:r>
              <w:rPr>
                <w:rFonts w:hint="default" w:ascii="Segoe UI" w:hAnsi="Segoe UI" w:eastAsia="Segoe UI" w:cs="Segoe UI"/>
                <w:i w:val="0"/>
                <w:iCs w:val="0"/>
                <w:color w:val="000000" w:themeColor="text1"/>
                <w:kern w:val="0"/>
                <w:sz w:val="21"/>
                <w:szCs w:val="21"/>
                <w:u w:val="none"/>
                <w:lang w:val="en-US" w:eastAsia="zh-CN" w:bidi="ar"/>
                <w14:textFill>
                  <w14:solidFill>
                    <w14:schemeClr w14:val="tx1"/>
                  </w14:solidFill>
                </w14:textFill>
              </w:rPr>
              <w:t>预期性</w:t>
            </w:r>
          </w:p>
        </w:tc>
      </w:tr>
    </w:tbl>
    <w:p w14:paraId="0777FD03">
      <w:pPr>
        <w:bidi w:val="0"/>
        <w:rPr>
          <w:rFonts w:hint="eastAsia"/>
          <w:lang w:val="en-US" w:eastAsia="zh-CN"/>
        </w:rPr>
      </w:pPr>
    </w:p>
    <w:p w14:paraId="5513D734">
      <w:pPr>
        <w:bidi w:val="0"/>
        <w:rPr>
          <w:rFonts w:hint="eastAsia"/>
          <w:lang w:val="en-US" w:eastAsia="zh-CN"/>
        </w:rPr>
      </w:pPr>
    </w:p>
    <w:p w14:paraId="262CEE4C">
      <w:pPr>
        <w:bidi w:val="0"/>
        <w:rPr>
          <w:rFonts w:hint="eastAsia"/>
          <w:lang w:val="en-US" w:eastAsia="zh-CN"/>
        </w:rPr>
      </w:pPr>
    </w:p>
    <w:p w14:paraId="6CBFBD63">
      <w:pPr>
        <w:bidi w:val="0"/>
        <w:rPr>
          <w:rFonts w:hint="eastAsia"/>
          <w:lang w:val="en-US" w:eastAsia="zh-CN"/>
        </w:rPr>
      </w:pPr>
    </w:p>
    <w:p w14:paraId="2890B672">
      <w:pPr>
        <w:bidi w:val="0"/>
        <w:rPr>
          <w:rFonts w:hint="eastAsia"/>
          <w:lang w:val="en-US" w:eastAsia="zh-CN"/>
        </w:rPr>
      </w:pPr>
    </w:p>
    <w:p w14:paraId="100A1610">
      <w:pPr>
        <w:pStyle w:val="2"/>
        <w:keepNext/>
        <w:keepLines/>
        <w:pageBreakBefore w:val="0"/>
        <w:widowControl w:val="0"/>
        <w:tabs>
          <w:tab w:val="right" w:leader="dot" w:pos="6300"/>
        </w:tabs>
        <w:kinsoku/>
        <w:wordWrap/>
        <w:overflowPunct/>
        <w:topLinePunct w:val="0"/>
        <w:autoSpaceDE/>
        <w:autoSpaceDN/>
        <w:bidi w:val="0"/>
        <w:adjustRightInd/>
        <w:snapToGrid/>
        <w:spacing w:before="0" w:after="0" w:line="600" w:lineRule="exact"/>
        <w:jc w:val="center"/>
        <w:textAlignment w:val="auto"/>
        <w:rPr>
          <w:rFonts w:hint="eastAsia" w:ascii="微软雅黑" w:hAnsi="微软雅黑" w:eastAsia="微软雅黑" w:cs="微软雅黑"/>
          <w:b w:val="0"/>
          <w:bCs/>
          <w:color w:val="000000" w:themeColor="text1"/>
          <w:lang w:val="en-US" w:eastAsia="zh-CN"/>
          <w14:textFill>
            <w14:solidFill>
              <w14:schemeClr w14:val="tx1"/>
            </w14:solidFill>
          </w14:textFill>
        </w:rPr>
      </w:pPr>
      <w:r>
        <w:rPr>
          <w:rFonts w:hint="eastAsia" w:ascii="微软雅黑" w:hAnsi="微软雅黑" w:eastAsia="微软雅黑" w:cs="微软雅黑"/>
          <w:b w:val="0"/>
          <w:bCs/>
          <w:color w:val="000000" w:themeColor="text1"/>
          <w:lang w:val="en-US" w:eastAsia="zh-CN"/>
          <w14:textFill>
            <w14:solidFill>
              <w14:schemeClr w14:val="tx1"/>
            </w14:solidFill>
          </w14:textFill>
        </w:rPr>
        <w:t>第二章 优化空间布局</w:t>
      </w:r>
      <w:bookmarkEnd w:id="47"/>
      <w:bookmarkEnd w:id="48"/>
      <w:bookmarkEnd w:id="49"/>
    </w:p>
    <w:p w14:paraId="5C9DE95D">
      <w:pPr>
        <w:pStyle w:val="2"/>
        <w:keepNext/>
        <w:keepLines/>
        <w:pageBreakBefore w:val="0"/>
        <w:widowControl w:val="0"/>
        <w:tabs>
          <w:tab w:val="right" w:leader="dot" w:pos="6300"/>
        </w:tabs>
        <w:kinsoku/>
        <w:wordWrap/>
        <w:overflowPunct/>
        <w:topLinePunct w:val="0"/>
        <w:autoSpaceDE/>
        <w:autoSpaceDN/>
        <w:bidi w:val="0"/>
        <w:adjustRightInd/>
        <w:snapToGrid/>
        <w:spacing w:before="0" w:after="0" w:line="600" w:lineRule="exact"/>
        <w:jc w:val="center"/>
        <w:textAlignment w:val="auto"/>
        <w:rPr>
          <w:rFonts w:hint="eastAsia" w:ascii="微软雅黑" w:hAnsi="微软雅黑" w:eastAsia="微软雅黑" w:cs="微软雅黑"/>
          <w:b w:val="0"/>
          <w:bCs/>
          <w:color w:val="000000" w:themeColor="text1"/>
          <w:lang w:val="en-US" w:eastAsia="zh-CN"/>
          <w14:textFill>
            <w14:solidFill>
              <w14:schemeClr w14:val="tx1"/>
            </w14:solidFill>
          </w14:textFill>
        </w:rPr>
      </w:pPr>
      <w:bookmarkStart w:id="51" w:name="_Toc14240"/>
      <w:bookmarkStart w:id="52" w:name="_Toc7098"/>
      <w:bookmarkStart w:id="53" w:name="_Toc2740"/>
      <w:bookmarkStart w:id="54" w:name="_Toc28685"/>
      <w:bookmarkStart w:id="55" w:name="_Toc27634"/>
      <w:r>
        <w:rPr>
          <w:rFonts w:hint="eastAsia" w:ascii="微软雅黑" w:hAnsi="微软雅黑" w:eastAsia="微软雅黑" w:cs="微软雅黑"/>
          <w:b w:val="0"/>
          <w:bCs/>
          <w:color w:val="000000" w:themeColor="text1"/>
          <w:lang w:val="en-US" w:eastAsia="zh-CN"/>
          <w14:textFill>
            <w14:solidFill>
              <w14:schemeClr w14:val="tx1"/>
            </w14:solidFill>
          </w14:textFill>
        </w:rPr>
        <w:t>打造城乡融合发展引领园区</w:t>
      </w:r>
      <w:bookmarkEnd w:id="50"/>
      <w:bookmarkEnd w:id="51"/>
      <w:bookmarkEnd w:id="52"/>
      <w:bookmarkEnd w:id="53"/>
      <w:bookmarkEnd w:id="54"/>
      <w:bookmarkEnd w:id="55"/>
    </w:p>
    <w:p w14:paraId="30AC2732">
      <w:pPr>
        <w:keepNext w:val="0"/>
        <w:keepLines w:val="0"/>
        <w:pageBreakBefore w:val="0"/>
        <w:widowControl w:val="0"/>
        <w:tabs>
          <w:tab w:val="right" w:leader="dot" w:pos="6300"/>
        </w:tabs>
        <w:kinsoku/>
        <w:wordWrap/>
        <w:overflowPunct/>
        <w:topLinePunct w:val="0"/>
        <w:autoSpaceDE/>
        <w:autoSpaceDN/>
        <w:bidi w:val="0"/>
        <w:adjustRightInd/>
        <w:snapToGrid/>
        <w:spacing w:before="0" w:beforeAutospacing="0" w:after="0" w:afterAutospacing="0" w:line="400" w:lineRule="exact"/>
        <w:jc w:val="left"/>
        <w:textAlignment w:val="auto"/>
        <w:outlineLvl w:val="9"/>
        <w:rPr>
          <w:rFonts w:hint="eastAsia" w:ascii="宋体" w:hAnsi="宋体" w:eastAsia="宋体" w:cs="宋体"/>
          <w:b/>
          <w:bCs/>
          <w:color w:val="000000" w:themeColor="text1"/>
          <w:kern w:val="0"/>
          <w:sz w:val="36"/>
          <w:szCs w:val="36"/>
          <w:lang w:val="en-US" w:eastAsia="zh-CN" w:bidi="ar"/>
          <w14:textFill>
            <w14:solidFill>
              <w14:schemeClr w14:val="tx1"/>
            </w14:solidFill>
          </w14:textFill>
        </w:rPr>
      </w:pPr>
      <w:bookmarkStart w:id="56" w:name="_Toc9523"/>
      <w:bookmarkStart w:id="57" w:name="_Toc9871"/>
    </w:p>
    <w:bookmarkEnd w:id="56"/>
    <w:bookmarkEnd w:id="57"/>
    <w:p w14:paraId="7C969938">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jc w:val="left"/>
        <w:textAlignment w:val="auto"/>
        <w:outlineLvl w:val="9"/>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bookmarkStart w:id="58" w:name="_Toc13323"/>
      <w:bookmarkStart w:id="59" w:name="_Toc689"/>
      <w:bookmarkStart w:id="60" w:name="_Toc22502"/>
      <w:bookmarkStart w:id="61" w:name="_Toc27500"/>
      <w:bookmarkStart w:id="62" w:name="_Toc11807"/>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立足各片区资源禀赋与发展基础，明确核心功能定位，推动港口物流、产业发展、开放平台协同发力，实现𣲗源口、海口湖、金海三个镇（区）差异化跃升，形成“整体联动、局部突破、各具特色”的发展态势，为港产城深度融合奠定空间基础。</w:t>
      </w:r>
      <w:bookmarkEnd w:id="58"/>
      <w:bookmarkEnd w:id="59"/>
      <w:bookmarkEnd w:id="60"/>
      <w:bookmarkEnd w:id="61"/>
      <w:bookmarkEnd w:id="62"/>
    </w:p>
    <w:p w14:paraId="14AA1BA2">
      <w:pPr>
        <w:keepNext w:val="0"/>
        <w:keepLines w:val="0"/>
        <w:pageBreakBefore w:val="0"/>
        <w:widowControl w:val="0"/>
        <w:tabs>
          <w:tab w:val="right" w:leader="dot" w:pos="6300"/>
        </w:tabs>
        <w:kinsoku/>
        <w:wordWrap/>
        <w:overflowPunct/>
        <w:topLinePunct w:val="0"/>
        <w:autoSpaceDE/>
        <w:autoSpaceDN/>
        <w:bidi w:val="0"/>
        <w:adjustRightInd/>
        <w:snapToGrid/>
        <w:spacing w:before="0" w:beforeAutospacing="0" w:after="0" w:afterAutospacing="0" w:line="400" w:lineRule="exact"/>
        <w:jc w:val="center"/>
        <w:textAlignment w:val="auto"/>
        <w:outlineLvl w:val="9"/>
        <w:rPr>
          <w:rFonts w:hint="eastAsia" w:ascii="宋体" w:hAnsi="宋体" w:eastAsia="宋体" w:cs="宋体"/>
          <w:b/>
          <w:bCs/>
          <w:color w:val="000000" w:themeColor="text1"/>
          <w:kern w:val="0"/>
          <w:sz w:val="36"/>
          <w:szCs w:val="36"/>
          <w:lang w:val="en-US" w:eastAsia="zh-CN" w:bidi="ar"/>
          <w14:textFill>
            <w14:solidFill>
              <w14:schemeClr w14:val="tx1"/>
            </w14:solidFill>
          </w14:textFill>
        </w:rPr>
      </w:pPr>
      <w:bookmarkStart w:id="63" w:name="_Toc16623"/>
      <w:bookmarkStart w:id="64" w:name="_Toc29412"/>
    </w:p>
    <w:p w14:paraId="59A3040E">
      <w:pPr>
        <w:pStyle w:val="3"/>
        <w:keepNext w:val="0"/>
        <w:keepLines w:val="0"/>
        <w:pageBreakBefore w:val="0"/>
        <w:widowControl w:val="0"/>
        <w:numPr>
          <w:ilvl w:val="0"/>
          <w:numId w:val="0"/>
        </w:numPr>
        <w:tabs>
          <w:tab w:val="right" w:leader="dot" w:pos="6300"/>
        </w:tabs>
        <w:kinsoku/>
        <w:wordWrap/>
        <w:overflowPunct/>
        <w:topLinePunct w:val="0"/>
        <w:autoSpaceDE/>
        <w:autoSpaceDN/>
        <w:bidi w:val="0"/>
        <w:adjustRightInd/>
        <w:snapToGrid/>
        <w:spacing w:beforeAutospacing="0" w:afterAutospacing="0" w:line="560" w:lineRule="exact"/>
        <w:ind w:left="0" w:leftChars="0" w:firstLine="0" w:firstLineChars="0"/>
        <w:jc w:val="center"/>
        <w:textAlignment w:val="auto"/>
        <w:outlineLvl w:val="0"/>
        <w:rPr>
          <w:rFonts w:hint="eastAsia"/>
          <w:color w:val="000000" w:themeColor="text1"/>
          <w:lang w:val="en-US" w:eastAsia="zh-CN"/>
          <w14:textFill>
            <w14:solidFill>
              <w14:schemeClr w14:val="tx1"/>
            </w14:solidFill>
          </w14:textFill>
        </w:rPr>
      </w:pPr>
      <w:bookmarkStart w:id="65" w:name="_Toc23054"/>
      <w:r>
        <w:rPr>
          <w:rFonts w:hint="eastAsia" w:ascii="宋体" w:hAnsi="宋体" w:eastAsia="宋体" w:cs="宋体"/>
          <w:b/>
          <w:bCs/>
          <w:color w:val="000000" w:themeColor="text1"/>
          <w:kern w:val="0"/>
          <w:sz w:val="36"/>
          <w:szCs w:val="36"/>
          <w:lang w:val="en-US" w:eastAsia="zh-CN" w:bidi="ar"/>
          <w14:textFill>
            <w14:solidFill>
              <w14:schemeClr w14:val="tx1"/>
            </w14:solidFill>
          </w14:textFill>
        </w:rPr>
        <w:t>第一节</w:t>
      </w:r>
      <w:r>
        <w:rPr>
          <w:rFonts w:hint="eastAsia" w:cs="宋体"/>
          <w:b/>
          <w:bCs/>
          <w:color w:val="000000" w:themeColor="text1"/>
          <w:kern w:val="0"/>
          <w:sz w:val="36"/>
          <w:szCs w:val="36"/>
          <w:lang w:val="en-US" w:eastAsia="zh-CN" w:bidi="ar"/>
          <w14:textFill>
            <w14:solidFill>
              <w14:schemeClr w14:val="tx1"/>
            </w14:solidFill>
          </w14:textFill>
        </w:rPr>
        <w:t xml:space="preserve"> </w:t>
      </w:r>
      <w:r>
        <w:rPr>
          <w:rFonts w:hint="eastAsia"/>
          <w:color w:val="000000" w:themeColor="text1"/>
          <w:lang w:val="en-US" w:eastAsia="zh-CN"/>
          <w14:textFill>
            <w14:solidFill>
              <w14:schemeClr w14:val="tx1"/>
            </w14:solidFill>
          </w14:textFill>
        </w:rPr>
        <w:t>打造多点支撑的发展格局</w:t>
      </w:r>
      <w:bookmarkEnd w:id="63"/>
      <w:bookmarkEnd w:id="64"/>
      <w:bookmarkEnd w:id="65"/>
    </w:p>
    <w:p w14:paraId="225A26E8">
      <w:pPr>
        <w:keepNext w:val="0"/>
        <w:keepLines w:val="0"/>
        <w:pageBreakBefore w:val="0"/>
        <w:widowControl w:val="0"/>
        <w:tabs>
          <w:tab w:val="right" w:leader="dot" w:pos="6300"/>
        </w:tabs>
        <w:kinsoku/>
        <w:wordWrap/>
        <w:overflowPunct/>
        <w:topLinePunct w:val="0"/>
        <w:autoSpaceDE/>
        <w:autoSpaceDN/>
        <w:bidi w:val="0"/>
        <w:adjustRightInd/>
        <w:snapToGrid/>
        <w:spacing w:before="0" w:beforeAutospacing="0" w:after="0" w:afterAutospacing="0" w:line="400" w:lineRule="exact"/>
        <w:jc w:val="center"/>
        <w:textAlignment w:val="auto"/>
        <w:outlineLvl w:val="9"/>
        <w:rPr>
          <w:rFonts w:hint="eastAsia" w:ascii="宋体" w:hAnsi="宋体" w:eastAsia="宋体" w:cs="宋体"/>
          <w:b/>
          <w:bCs/>
          <w:color w:val="000000" w:themeColor="text1"/>
          <w:kern w:val="0"/>
          <w:sz w:val="36"/>
          <w:szCs w:val="36"/>
          <w:lang w:val="en-US" w:eastAsia="zh-CN" w:bidi="ar"/>
          <w14:textFill>
            <w14:solidFill>
              <w14:schemeClr w14:val="tx1"/>
            </w14:solidFill>
          </w14:textFill>
        </w:rPr>
      </w:pPr>
    </w:p>
    <w:p w14:paraId="1FF21039">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jc w:val="left"/>
        <w:textAlignment w:val="auto"/>
        <w:outlineLvl w:val="9"/>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bookmarkStart w:id="66" w:name="_Toc11306"/>
      <w:bookmarkStart w:id="67" w:name="_Toc27223"/>
      <w:bookmarkStart w:id="68" w:name="_Toc21822"/>
      <w:bookmarkStart w:id="69" w:name="_Toc922"/>
      <w:bookmarkStart w:id="70" w:name="_Toc26144"/>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推动港口物流、产业发展、开放平台协同联动，形成临港经济协同发展与三大片区差异化跃升互促共进的空间格局。</w:t>
      </w:r>
      <w:bookmarkEnd w:id="66"/>
      <w:bookmarkEnd w:id="67"/>
      <w:bookmarkEnd w:id="68"/>
      <w:bookmarkEnd w:id="69"/>
      <w:bookmarkEnd w:id="70"/>
    </w:p>
    <w:p w14:paraId="05D51DA4">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jc w:val="left"/>
        <w:textAlignment w:val="auto"/>
        <w:outlineLvl w:val="9"/>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bookmarkStart w:id="71" w:name="_Toc7947"/>
      <w:bookmarkStart w:id="72" w:name="_Toc8592"/>
      <w:bookmarkStart w:id="73" w:name="_Toc17897"/>
      <w:bookmarkStart w:id="74" w:name="_Toc3113"/>
      <w:r>
        <w:rPr>
          <w:rFonts w:hint="eastAsia" w:ascii="黑体" w:hAnsi="黑体" w:eastAsia="黑体" w:cs="黑体"/>
          <w:b w:val="0"/>
          <w:bCs w:val="0"/>
          <w:color w:val="000000" w:themeColor="text1"/>
          <w:kern w:val="0"/>
          <w:sz w:val="32"/>
          <w:szCs w:val="32"/>
          <w:lang w:val="en-US" w:eastAsia="zh-CN" w:bidi="ar"/>
          <w14:textFill>
            <w14:solidFill>
              <w14:schemeClr w14:val="tx1"/>
            </w14:solidFill>
          </w14:textFill>
        </w:rPr>
        <w:t>一、推动临港经济协同发展</w:t>
      </w: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w:t>
      </w:r>
      <w:bookmarkEnd w:id="71"/>
      <w:bookmarkEnd w:id="72"/>
      <w:bookmarkEnd w:id="73"/>
      <w:bookmarkEnd w:id="74"/>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 xml:space="preserve"> 聚焦“港口为枢纽、产业为支撑、综保为引擎”，推动港口、产业、开放平台空间联动、功能互补。升级港口多式联运体系，强化铁路、公路、水路无缝衔接，提升大宗商品集散与中转效能，打造长江中游核心储运节点；优化产业空间布局，推动传统优势产业与新兴产业集群化发展，依托港口辐射力带动产业向价值链高端延伸；深化综保区政策优势，推动保税加工、跨境贸易等业态创新，强化开放平台与产业、港口的功能联动。强化港口作业区与后方产业片区的“前港后园”空间组织，规划建设港口与综保区专用物流通道，实现货物“到港即入区、出区即上产线”，全面提升园区开放能级与综合竞争力。</w:t>
      </w:r>
    </w:p>
    <w:p w14:paraId="5EB6584F">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jc w:val="left"/>
        <w:textAlignment w:val="auto"/>
        <w:outlineLvl w:val="9"/>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bookmarkStart w:id="75" w:name="_Toc5241"/>
      <w:bookmarkStart w:id="76" w:name="_Toc22948"/>
      <w:bookmarkStart w:id="77" w:name="_Toc16618"/>
      <w:bookmarkStart w:id="78" w:name="_Toc4601"/>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二、片区差异化协同发展。</w:t>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立足三个镇（区）各自资源禀赋与发展定位，通过特色化路径实现错位跃升，共同支撑园区港产城深度融合与现代化港口新城建设。其中，𣲗源口片区立足产城融合发展定位，围绕临港经济培育、城镇品质提质、产城协同发展三大方向，重点布局临港制造、现代商贸、滨江休闲、特色种养等业态，推动城镇空间布局优化、公共服务提质升级、生态环境综合治理，持续提升社区治理水平、人口集聚承载力与群众生活幸福感，着力建设临港经济核心区、滨江生态宜居样板城镇；海口湖片区以产城融合为核心打造现代化新兴新区，聚焦新兴产业培育构建特色鲜明的产业发展生态，成为新质生产力集聚高地，同时统筹布局行政办公、文化体育、医疗教育等城市功能，实现产业发展与城市宜居的深度融合，打造港产城融合样板；金海片区以白茶文旅为特色建设生态休闲型发展片区，立足白茶国家地理标志产品优势延伸“农业+加工+文旅”全产业链，强化生态保护与业态创新的协同，完善乡村基础设施与文旅服务配套，打造集生态观光、农事体验、康养休闲于一体的特色小镇，实现生态价值与经济价值同步提升，创建全国文明乡镇。</w:t>
      </w:r>
      <w:bookmarkEnd w:id="75"/>
      <w:bookmarkEnd w:id="76"/>
      <w:bookmarkEnd w:id="77"/>
      <w:bookmarkEnd w:id="78"/>
    </w:p>
    <w:p w14:paraId="0C0B9318">
      <w:pPr>
        <w:keepNext w:val="0"/>
        <w:keepLines w:val="0"/>
        <w:pageBreakBefore w:val="0"/>
        <w:widowControl w:val="0"/>
        <w:tabs>
          <w:tab w:val="right" w:leader="dot" w:pos="6300"/>
        </w:tabs>
        <w:kinsoku/>
        <w:wordWrap/>
        <w:overflowPunct/>
        <w:topLinePunct w:val="0"/>
        <w:autoSpaceDE/>
        <w:autoSpaceDN/>
        <w:bidi w:val="0"/>
        <w:adjustRightInd/>
        <w:snapToGrid/>
        <w:spacing w:before="0" w:beforeAutospacing="0" w:after="0" w:afterAutospacing="0" w:line="400" w:lineRule="exact"/>
        <w:jc w:val="center"/>
        <w:textAlignment w:val="auto"/>
        <w:outlineLvl w:val="9"/>
        <w:rPr>
          <w:rFonts w:hint="eastAsia" w:ascii="宋体" w:hAnsi="宋体" w:eastAsia="宋体" w:cs="宋体"/>
          <w:b/>
          <w:bCs/>
          <w:color w:val="000000" w:themeColor="text1"/>
          <w:kern w:val="0"/>
          <w:sz w:val="36"/>
          <w:szCs w:val="36"/>
          <w:lang w:val="en-US" w:eastAsia="zh-CN" w:bidi="ar"/>
          <w14:textFill>
            <w14:solidFill>
              <w14:schemeClr w14:val="tx1"/>
            </w14:solidFill>
          </w14:textFill>
        </w:rPr>
      </w:pPr>
      <w:bookmarkStart w:id="79" w:name="_Toc23815"/>
    </w:p>
    <w:p w14:paraId="587504CD">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600" w:lineRule="exact"/>
        <w:jc w:val="center"/>
        <w:textAlignment w:val="auto"/>
        <w:outlineLvl w:val="0"/>
        <w:rPr>
          <w:rFonts w:hint="eastAsia"/>
          <w:color w:val="000000" w:themeColor="text1"/>
          <w:lang w:val="en-US" w:eastAsia="zh-CN"/>
          <w14:textFill>
            <w14:solidFill>
              <w14:schemeClr w14:val="tx1"/>
            </w14:solidFill>
          </w14:textFill>
        </w:rPr>
      </w:pPr>
      <w:bookmarkStart w:id="80" w:name="_Toc220"/>
      <w:r>
        <w:rPr>
          <w:rFonts w:hint="eastAsia"/>
          <w:color w:val="000000" w:themeColor="text1"/>
          <w:lang w:val="en-US" w:eastAsia="zh-CN"/>
          <w14:textFill>
            <w14:solidFill>
              <w14:schemeClr w14:val="tx1"/>
            </w14:solidFill>
          </w14:textFill>
        </w:rPr>
        <w:t>第二节</w:t>
      </w:r>
      <w:bookmarkEnd w:id="79"/>
      <w:bookmarkEnd w:id="80"/>
      <w:r>
        <w:rPr>
          <w:rFonts w:hint="eastAsia"/>
          <w:color w:val="000000" w:themeColor="text1"/>
          <w:lang w:val="en-US" w:eastAsia="zh-CN"/>
          <w14:textFill>
            <w14:solidFill>
              <w14:schemeClr w14:val="tx1"/>
            </w14:solidFill>
          </w14:textFill>
        </w:rPr>
        <w:t xml:space="preserve"> 完善城镇功能设施</w:t>
      </w:r>
    </w:p>
    <w:p w14:paraId="24E8147C">
      <w:pPr>
        <w:keepNext w:val="0"/>
        <w:keepLines w:val="0"/>
        <w:pageBreakBefore w:val="0"/>
        <w:widowControl w:val="0"/>
        <w:tabs>
          <w:tab w:val="right" w:leader="dot" w:pos="6300"/>
        </w:tabs>
        <w:kinsoku/>
        <w:wordWrap/>
        <w:overflowPunct/>
        <w:topLinePunct w:val="0"/>
        <w:autoSpaceDE/>
        <w:autoSpaceDN/>
        <w:bidi w:val="0"/>
        <w:adjustRightInd/>
        <w:snapToGrid/>
        <w:spacing w:line="400" w:lineRule="exact"/>
        <w:textAlignment w:val="auto"/>
        <w:rPr>
          <w:rFonts w:hint="default"/>
          <w:color w:val="000000" w:themeColor="text1"/>
          <w:lang w:val="en-US" w:eastAsia="zh-CN"/>
          <w14:textFill>
            <w14:solidFill>
              <w14:schemeClr w14:val="tx1"/>
            </w14:solidFill>
          </w14:textFill>
        </w:rPr>
      </w:pPr>
    </w:p>
    <w:p w14:paraId="72FC00BF">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jc w:val="left"/>
        <w:textAlignment w:val="auto"/>
        <w:outlineLvl w:val="9"/>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bookmarkStart w:id="81" w:name="_Toc12451"/>
      <w:bookmarkStart w:id="82" w:name="_Toc28500"/>
      <w:bookmarkStart w:id="83" w:name="_Toc10232"/>
      <w:bookmarkStart w:id="84" w:name="_Toc24008"/>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以补齐短板、强化支撑为重点，推动城镇功能从“产业配套型”向“宜居宜业型”转型，增强对产业和人口的综合承载能力</w:t>
      </w:r>
    </w:p>
    <w:bookmarkEnd w:id="81"/>
    <w:bookmarkEnd w:id="82"/>
    <w:bookmarkEnd w:id="83"/>
    <w:bookmarkEnd w:id="84"/>
    <w:p w14:paraId="416F305B">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jc w:val="left"/>
        <w:textAlignment w:val="auto"/>
        <w:outlineLvl w:val="9"/>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黑体" w:hAnsi="黑体" w:eastAsia="黑体" w:cs="黑体"/>
          <w:b w:val="0"/>
          <w:bCs w:val="0"/>
          <w:color w:val="000000" w:themeColor="text1"/>
          <w:kern w:val="2"/>
          <w:sz w:val="32"/>
          <w:szCs w:val="32"/>
          <w:lang w:val="en-US" w:eastAsia="zh-CN" w:bidi="ar-SA"/>
          <w14:textFill>
            <w14:solidFill>
              <w14:schemeClr w14:val="tx1"/>
            </w14:solidFill>
          </w14:textFill>
        </w:rPr>
        <w:t>一、城镇基础设施提质。</w:t>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完善供水、排水、燃气、供电、通信、环卫等市政管网，实现污水全域收集处置、垃圾收运体系全覆盖。加快海绵城市建设，完善生态绿地、滨水休闲空间等配套，推进市政设施智能化、绿色化升级。</w:t>
      </w:r>
    </w:p>
    <w:p w14:paraId="0EC32650">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jc w:val="left"/>
        <w:textAlignment w:val="auto"/>
        <w:outlineLvl w:val="9"/>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黑体" w:hAnsi="黑体" w:eastAsia="黑体" w:cs="黑体"/>
          <w:b w:val="0"/>
          <w:bCs w:val="0"/>
          <w:color w:val="000000" w:themeColor="text1"/>
          <w:kern w:val="2"/>
          <w:sz w:val="32"/>
          <w:szCs w:val="32"/>
          <w:lang w:val="en-US" w:eastAsia="zh-CN" w:bidi="ar-SA"/>
          <w14:textFill>
            <w14:solidFill>
              <w14:schemeClr w14:val="tx1"/>
            </w14:solidFill>
          </w14:textFill>
        </w:rPr>
        <w:t>二、打造内部立体交通体系。</w:t>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打通节点瓶颈，实现产业片区、城镇生活区、乡村区域高效联通。升级乡村道路，畅通城乡流通“最后一公里”。加密公交线路，推行微循环公交直达社区与乡村，适时推进农村客运公交化改造，实现公共交通全域覆盖。</w:t>
      </w:r>
    </w:p>
    <w:p w14:paraId="46A9ACEC">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jc w:val="left"/>
        <w:textAlignment w:val="auto"/>
        <w:outlineLvl w:val="9"/>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黑体" w:hAnsi="黑体" w:eastAsia="黑体" w:cs="黑体"/>
          <w:b w:val="0"/>
          <w:bCs w:val="0"/>
          <w:color w:val="000000" w:themeColor="text1"/>
          <w:kern w:val="2"/>
          <w:sz w:val="32"/>
          <w:szCs w:val="32"/>
          <w:lang w:val="en-US" w:eastAsia="zh-CN" w:bidi="ar-SA"/>
          <w14:textFill>
            <w14:solidFill>
              <w14:schemeClr w14:val="tx1"/>
            </w14:solidFill>
          </w14:textFill>
        </w:rPr>
        <w:t>三、完善公共服务配套布局。</w:t>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围绕教育、医疗、养老、文化、体育、商业等核心需求，优化公共服务设施布局，推动优质资源向镇区、社区延伸，构建层级清晰、均衡可及的公共服务体系。</w:t>
      </w:r>
    </w:p>
    <w:p w14:paraId="6E0A5077">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left="0" w:leftChars="0" w:firstLine="0" w:firstLineChars="0"/>
        <w:jc w:val="center"/>
        <w:textAlignment w:val="auto"/>
        <w:rPr>
          <w:rFonts w:hint="eastAsia" w:ascii="黑体" w:hAnsi="黑体" w:eastAsia="黑体" w:cs="黑体"/>
          <w:color w:val="000000" w:themeColor="text1"/>
          <w:sz w:val="32"/>
          <w:szCs w:val="32"/>
          <w:lang w:val="en-US" w:eastAsia="zh-CN"/>
          <w14:textFill>
            <w14:solidFill>
              <w14:schemeClr w14:val="tx1"/>
            </w14:solidFill>
          </w14:textFill>
        </w:rPr>
      </w:pPr>
    </w:p>
    <w:p w14:paraId="3E44D339">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left="0" w:leftChars="0" w:firstLine="0" w:firstLineChars="0"/>
        <w:jc w:val="center"/>
        <w:textAlignment w:val="auto"/>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专栏2：新港园区城镇能力提升重点工程</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3"/>
      </w:tblGrid>
      <w:tr w14:paraId="0A28C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3" w:type="dxa"/>
          </w:tcPr>
          <w:p w14:paraId="2E2D7D5D">
            <w:pPr>
              <w:keepNext w:val="0"/>
              <w:keepLines w:val="0"/>
              <w:pageBreakBefore w:val="0"/>
              <w:widowControl/>
              <w:numPr>
                <w:ilvl w:val="0"/>
                <w:numId w:val="0"/>
              </w:numPr>
              <w:suppressLineNumbers w:val="0"/>
              <w:pBdr>
                <w:left w:val="none" w:color="auto" w:sz="0" w:space="0"/>
              </w:pBdr>
              <w:tabs>
                <w:tab w:val="right" w:leader="dot" w:pos="6300"/>
              </w:tabs>
              <w:kinsoku/>
              <w:wordWrap/>
              <w:overflowPunct/>
              <w:topLinePunct w:val="0"/>
              <w:autoSpaceDE/>
              <w:autoSpaceDN/>
              <w:bidi w:val="0"/>
              <w:adjustRightInd/>
              <w:snapToGrid/>
              <w:spacing w:before="0" w:beforeAutospacing="0" w:after="0" w:afterAutospacing="0" w:line="540" w:lineRule="exact"/>
              <w:ind w:firstLine="643" w:firstLineChars="200"/>
              <w:textAlignment w:val="auto"/>
              <w:rPr>
                <w:rFonts w:hint="eastAsia" w:ascii="楷体" w:hAnsi="楷体" w:eastAsia="楷体" w:cs="楷体"/>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楷体" w:hAnsi="楷体" w:eastAsia="楷体" w:cs="楷体"/>
                <w:b/>
                <w:bCs/>
                <w:i w:val="0"/>
                <w:iCs w:val="0"/>
                <w:caps w:val="0"/>
                <w:color w:val="000000" w:themeColor="text1"/>
                <w:spacing w:val="0"/>
                <w:sz w:val="32"/>
                <w:szCs w:val="32"/>
                <w:shd w:val="clear" w:fill="FFFFFF"/>
                <w:lang w:val="en-US" w:eastAsia="zh-CN"/>
                <w14:textFill>
                  <w14:solidFill>
                    <w14:schemeClr w14:val="tx1"/>
                  </w14:solidFill>
                </w14:textFill>
              </w:rPr>
              <w:t>城镇基础设施提质工程：</w:t>
            </w:r>
            <w:r>
              <w:rPr>
                <w:rFonts w:hint="eastAsia" w:ascii="楷体" w:hAnsi="楷体" w:eastAsia="楷体" w:cs="楷体"/>
                <w:i w:val="0"/>
                <w:iCs w:val="0"/>
                <w:caps w:val="0"/>
                <w:color w:val="000000" w:themeColor="text1"/>
                <w:spacing w:val="0"/>
                <w:sz w:val="32"/>
                <w:szCs w:val="32"/>
                <w:shd w:val="clear" w:fill="FFFFFF"/>
                <w:lang w:val="en-US" w:eastAsia="zh-CN"/>
                <w14:textFill>
                  <w14:solidFill>
                    <w14:schemeClr w14:val="tx1"/>
                  </w14:solidFill>
                </w14:textFill>
              </w:rPr>
              <w:t>镇区雪亮工程、春湖公园提升工程、园区旧城改造项目、新港园区村庄环境提升工程、海口湖人居环境城镇化建设项目、三洲污水处理厂二期扩能提标项目、园区雨污水管网智慧提升工程、新港园区环卫一体化项目、5G智慧路灯项目</w:t>
            </w:r>
          </w:p>
          <w:p w14:paraId="3032C87D">
            <w:pPr>
              <w:keepNext w:val="0"/>
              <w:keepLines w:val="0"/>
              <w:pageBreakBefore w:val="0"/>
              <w:widowControl/>
              <w:numPr>
                <w:ilvl w:val="0"/>
                <w:numId w:val="0"/>
              </w:numPr>
              <w:suppressLineNumbers w:val="0"/>
              <w:pBdr>
                <w:left w:val="none" w:color="auto" w:sz="0" w:space="0"/>
              </w:pBdr>
              <w:tabs>
                <w:tab w:val="right" w:leader="dot" w:pos="6300"/>
              </w:tabs>
              <w:kinsoku/>
              <w:wordWrap/>
              <w:overflowPunct/>
              <w:topLinePunct w:val="0"/>
              <w:autoSpaceDE/>
              <w:autoSpaceDN/>
              <w:bidi w:val="0"/>
              <w:adjustRightInd/>
              <w:snapToGrid/>
              <w:spacing w:before="0" w:beforeAutospacing="0" w:after="0" w:afterAutospacing="0" w:line="540" w:lineRule="exact"/>
              <w:ind w:firstLine="643" w:firstLineChars="200"/>
              <w:textAlignment w:val="auto"/>
              <w:rPr>
                <w:rFonts w:hint="default" w:ascii="黑体" w:hAnsi="黑体" w:eastAsia="黑体" w:cs="黑体"/>
                <w:b w:val="0"/>
                <w:bCs w:val="0"/>
                <w:color w:val="000000" w:themeColor="text1"/>
                <w:kern w:val="2"/>
                <w:sz w:val="32"/>
                <w:szCs w:val="32"/>
                <w:lang w:val="en-US" w:eastAsia="zh-CN" w:bidi="ar-SA"/>
                <w14:textFill>
                  <w14:solidFill>
                    <w14:schemeClr w14:val="tx1"/>
                  </w14:solidFill>
                </w14:textFill>
              </w:rPr>
            </w:pPr>
            <w:r>
              <w:rPr>
                <w:rFonts w:hint="eastAsia" w:ascii="楷体" w:hAnsi="楷体" w:eastAsia="楷体" w:cs="楷体"/>
                <w:b/>
                <w:bCs/>
                <w:i w:val="0"/>
                <w:iCs w:val="0"/>
                <w:caps w:val="0"/>
                <w:color w:val="000000" w:themeColor="text1"/>
                <w:spacing w:val="0"/>
                <w:sz w:val="32"/>
                <w:szCs w:val="32"/>
                <w:shd w:val="clear" w:fill="FFFFFF"/>
                <w:lang w:val="en-US" w:eastAsia="zh-CN"/>
                <w14:textFill>
                  <w14:solidFill>
                    <w14:schemeClr w14:val="tx1"/>
                  </w14:solidFill>
                </w14:textFill>
              </w:rPr>
              <w:t>内部立体交通工程：</w:t>
            </w:r>
            <w:r>
              <w:rPr>
                <w:rFonts w:hint="eastAsia" w:ascii="楷体" w:hAnsi="楷体" w:eastAsia="楷体" w:cs="楷体"/>
                <w:i w:val="0"/>
                <w:iCs w:val="0"/>
                <w:caps w:val="0"/>
                <w:color w:val="000000" w:themeColor="text1"/>
                <w:spacing w:val="0"/>
                <w:sz w:val="32"/>
                <w:szCs w:val="32"/>
                <w:shd w:val="clear" w:fill="FFFFFF"/>
                <w:lang w:val="en-US" w:eastAsia="zh-CN"/>
                <w14:textFill>
                  <w14:solidFill>
                    <w14:schemeClr w14:val="tx1"/>
                  </w14:solidFill>
                </w14:textFill>
              </w:rPr>
              <w:t>园区产业园路网工程、环大冶湖东岸片区防汛应急公路项目</w:t>
            </w:r>
          </w:p>
        </w:tc>
      </w:tr>
    </w:tbl>
    <w:p w14:paraId="3D60922E">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360" w:lineRule="exact"/>
        <w:jc w:val="center"/>
        <w:textAlignment w:val="auto"/>
        <w:outlineLvl w:val="0"/>
        <w:rPr>
          <w:rFonts w:hint="eastAsia"/>
          <w:color w:val="000000" w:themeColor="text1"/>
          <w:lang w:val="en-US" w:eastAsia="zh-CN"/>
          <w14:textFill>
            <w14:solidFill>
              <w14:schemeClr w14:val="tx1"/>
            </w14:solidFill>
          </w14:textFill>
        </w:rPr>
      </w:pPr>
      <w:bookmarkStart w:id="85" w:name="_Toc904"/>
      <w:bookmarkStart w:id="86" w:name="_Toc30843"/>
    </w:p>
    <w:p w14:paraId="317D5F0D">
      <w:pPr>
        <w:rPr>
          <w:rFonts w:hint="eastAsia"/>
          <w:color w:val="000000" w:themeColor="text1"/>
          <w:lang w:val="en-US" w:eastAsia="zh-CN"/>
          <w14:textFill>
            <w14:solidFill>
              <w14:schemeClr w14:val="tx1"/>
            </w14:solidFill>
          </w14:textFill>
        </w:rPr>
      </w:pPr>
    </w:p>
    <w:p w14:paraId="332A8C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bCs/>
          <w:color w:val="000000" w:themeColor="text1"/>
          <w:kern w:val="0"/>
          <w:sz w:val="36"/>
          <w:szCs w:val="36"/>
          <w:lang w:val="en-US" w:eastAsia="zh-CN" w:bidi="ar"/>
          <w14:textFill>
            <w14:solidFill>
              <w14:schemeClr w14:val="tx1"/>
            </w14:solidFill>
          </w14:textFill>
        </w:rPr>
      </w:pPr>
      <w:r>
        <w:rPr>
          <w:rFonts w:hint="eastAsia" w:ascii="宋体" w:hAnsi="宋体" w:eastAsia="宋体" w:cs="宋体"/>
          <w:b/>
          <w:bCs/>
          <w:color w:val="000000" w:themeColor="text1"/>
          <w:kern w:val="0"/>
          <w:sz w:val="36"/>
          <w:szCs w:val="36"/>
          <w:lang w:val="en-US" w:eastAsia="zh-CN" w:bidi="ar"/>
          <w14:textFill>
            <w14:solidFill>
              <w14:schemeClr w14:val="tx1"/>
            </w14:solidFill>
          </w14:textFill>
        </w:rPr>
        <w:t>第三节 优化城镇人居风貌</w:t>
      </w:r>
    </w:p>
    <w:p w14:paraId="384FED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640" w:firstLineChars="200"/>
        <w:jc w:val="left"/>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p>
    <w:p w14:paraId="0DDCA84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统筹城镇更新与乡村建设，强化风貌管控与环境整治，打造港城交融、蓝绿交织、整洁宜居的城乡空间风貌。</w:t>
      </w:r>
    </w:p>
    <w:p w14:paraId="2EA26EB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一、</w:t>
      </w:r>
      <w:r>
        <w:rPr>
          <w:rStyle w:val="21"/>
          <w:rFonts w:hint="eastAsia" w:ascii="黑体" w:hAnsi="黑体" w:eastAsia="黑体" w:cs="黑体"/>
          <w:b w:val="0"/>
          <w:bCs w:val="0"/>
          <w:color w:val="000000" w:themeColor="text1"/>
          <w:sz w:val="32"/>
          <w:szCs w:val="32"/>
          <w14:textFill>
            <w14:solidFill>
              <w14:schemeClr w14:val="tx1"/>
            </w14:solidFill>
          </w14:textFill>
        </w:rPr>
        <w:t>城镇风貌塑造</w:t>
      </w:r>
      <w:r>
        <w:rPr>
          <w:rStyle w:val="21"/>
          <w:rFonts w:hint="eastAsia" w:ascii="黑体" w:hAnsi="黑体" w:eastAsia="黑体" w:cs="黑体"/>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紧扣港产城融合发展定位，塑造兼具现代气息与临港特色的城镇整体风貌。依托长江岸线、海口湖、大冶湖生态本底，强化港口枢纽、产业片区、城镇生活区风貌协同，严格管控城镇建筑高度、体量、色彩与界面风格，打造滨江滨水景观带、园区门户节点、港口特色街区与滨海滨湖风貌界面，构建疏密有致、蓝绿相映、特色鲜明的港城空间形态。</w:t>
      </w:r>
    </w:p>
    <w:p w14:paraId="2336C59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二、</w:t>
      </w:r>
      <w:r>
        <w:rPr>
          <w:rStyle w:val="21"/>
          <w:rFonts w:hint="eastAsia" w:ascii="黑体" w:hAnsi="黑体" w:eastAsia="黑体" w:cs="黑体"/>
          <w:b w:val="0"/>
          <w:bCs w:val="0"/>
          <w:color w:val="000000" w:themeColor="text1"/>
          <w:sz w:val="32"/>
          <w:szCs w:val="32"/>
          <w14:textFill>
            <w14:solidFill>
              <w14:schemeClr w14:val="tx1"/>
            </w14:solidFill>
          </w14:textFill>
        </w:rPr>
        <w:t>城镇更新提质</w:t>
      </w:r>
      <w:r>
        <w:rPr>
          <w:rStyle w:val="21"/>
          <w:rFonts w:hint="eastAsia" w:ascii="黑体" w:hAnsi="黑体" w:eastAsia="黑体" w:cs="黑体"/>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实施老旧小区综合更新改造，完善停车设施、公共照明、无障碍通行、休闲健身、雨污分流等配套功能，提升沿街立面、公共空间与街巷环境品质。推进镇区环境精细化整治，优化公共服务空间布局，持续改善居住条件与生活环境，推动城镇风貌与港口新城定位相匹配。</w:t>
      </w:r>
    </w:p>
    <w:p w14:paraId="7E83A54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三、乡村风貌提升。</w:t>
      </w: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延续乡村自然肌理与乡土特色，规范农房建设风貌引导，保护传统村落格局与田园风貌。持续推进农村人居环境整治提升，完善污水治理、垃圾收运、绿化亮化等设施，推进村庄净化、美化、特色化建设，打造与白茶产业、滨湖生态、港口辐射相协调的生态宜居、乡风文明美丽乡村，实现城乡风貌协调共融。</w:t>
      </w:r>
    </w:p>
    <w:p w14:paraId="04D8DF73">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jc w:val="center"/>
        <w:textAlignment w:val="auto"/>
        <w:outlineLvl w:val="0"/>
        <w:rPr>
          <w:rFonts w:hint="eastAsia"/>
          <w:color w:val="000000" w:themeColor="text1"/>
          <w:lang w:val="en-US" w:eastAsia="zh-CN"/>
          <w14:textFill>
            <w14:solidFill>
              <w14:schemeClr w14:val="tx1"/>
            </w14:solidFill>
          </w14:textFill>
        </w:rPr>
      </w:pPr>
    </w:p>
    <w:p w14:paraId="208ED60D">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jc w:val="center"/>
        <w:textAlignment w:val="auto"/>
        <w:outlineLvl w:val="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第四节 提升城镇化管理效能</w:t>
      </w:r>
      <w:bookmarkEnd w:id="85"/>
      <w:bookmarkEnd w:id="86"/>
    </w:p>
    <w:p w14:paraId="60C1E819">
      <w:pPr>
        <w:keepNext w:val="0"/>
        <w:keepLines w:val="0"/>
        <w:pageBreakBefore w:val="0"/>
        <w:widowControl w:val="0"/>
        <w:tabs>
          <w:tab w:val="right" w:leader="dot" w:pos="6300"/>
        </w:tabs>
        <w:kinsoku/>
        <w:wordWrap/>
        <w:overflowPunct/>
        <w:topLinePunct w:val="0"/>
        <w:autoSpaceDE/>
        <w:autoSpaceDN/>
        <w:bidi w:val="0"/>
        <w:adjustRightInd/>
        <w:snapToGrid/>
        <w:spacing w:before="0" w:beforeAutospacing="0" w:after="0" w:afterAutospacing="0" w:line="360" w:lineRule="exact"/>
        <w:ind w:firstLine="640" w:firstLineChars="200"/>
        <w:jc w:val="left"/>
        <w:textAlignment w:val="auto"/>
        <w:outlineLvl w:val="9"/>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bookmarkStart w:id="87" w:name="_Toc13529"/>
      <w:bookmarkStart w:id="88" w:name="_Toc2226"/>
      <w:bookmarkStart w:id="89" w:name="_Toc31359"/>
    </w:p>
    <w:p w14:paraId="3EAF1944">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30" w:lineRule="exact"/>
        <w:ind w:firstLine="640" w:firstLineChars="200"/>
        <w:jc w:val="both"/>
        <w:textAlignment w:val="auto"/>
        <w:outlineLvl w:val="9"/>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bookmarkStart w:id="90" w:name="_Toc304"/>
      <w:bookmarkStart w:id="91" w:name="_Toc20720"/>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以人口集聚、服务均等、空间管控、治理精细为重点，健全城镇化管理机制，推动城镇化高质量发展。</w:t>
      </w:r>
      <w:bookmarkEnd w:id="87"/>
      <w:bookmarkEnd w:id="88"/>
      <w:bookmarkEnd w:id="89"/>
      <w:bookmarkEnd w:id="90"/>
      <w:bookmarkEnd w:id="91"/>
    </w:p>
    <w:p w14:paraId="73CCB22B">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30" w:lineRule="exact"/>
        <w:ind w:firstLine="640" w:firstLineChars="200"/>
        <w:jc w:val="both"/>
        <w:textAlignment w:val="auto"/>
        <w:outlineLvl w:val="9"/>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bookmarkStart w:id="92" w:name="_Toc3216"/>
      <w:bookmarkStart w:id="93" w:name="_Toc18651"/>
      <w:bookmarkStart w:id="94" w:name="_Toc501"/>
      <w:bookmarkStart w:id="95" w:name="_Toc29248"/>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一、提升城镇人口集聚质量。</w:t>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围绕主导产业与新兴产业发展需求，完善人才引进与培育机制，吸引各类人才扎根落户，提高园区内企业对本地劳动力的吸附能力；推动农村劳动力向城镇有序转移，强化就业技能培训与就业服务，健全劳动力资源市场化配置机制，提升劳动力适配能力；搭建园区专属就业服务平台，常态化开展专场招聘，促进劳动力在产业间、区域内合理流动，优化人口年龄结构、技能结构与空间分布。</w:t>
      </w:r>
      <w:bookmarkEnd w:id="92"/>
      <w:bookmarkEnd w:id="93"/>
      <w:bookmarkEnd w:id="94"/>
      <w:bookmarkEnd w:id="95"/>
    </w:p>
    <w:p w14:paraId="68E1FCD4">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30" w:lineRule="exact"/>
        <w:ind w:firstLine="640" w:firstLineChars="200"/>
        <w:jc w:val="both"/>
        <w:textAlignment w:val="auto"/>
        <w:outlineLvl w:val="9"/>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二、深入推进以人为本的新型城镇化。</w:t>
      </w:r>
      <w:r>
        <w:rPr>
          <w:rFonts w:hint="default"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 深化户籍制度改革，推行常住地登记户口制度，促进在城镇稳定就业和生活的农业转移人口举家进城落户。建立公共服务与人口流动相适应的动态调整机制，推动教育、医疗、养老等优质资源向基层延伸，实现基本公共服务常住人口全覆盖。依法维护进城落户农民的“三权”，引导农业转移人口融入社区生活，促进新老居民融合。</w:t>
      </w:r>
    </w:p>
    <w:p w14:paraId="1C8669E4">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30" w:lineRule="exact"/>
        <w:ind w:firstLine="640" w:firstLineChars="200"/>
        <w:jc w:val="both"/>
        <w:textAlignment w:val="auto"/>
        <w:outlineLvl w:val="9"/>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bookmarkStart w:id="96" w:name="_Toc11443"/>
      <w:bookmarkStart w:id="97" w:name="_Toc5733"/>
      <w:bookmarkStart w:id="98" w:name="_Toc19443"/>
      <w:bookmarkStart w:id="99" w:name="_Toc7079"/>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三、强化空间刚性管控与高效利用。</w:t>
      </w:r>
      <w:bookmarkEnd w:id="96"/>
      <w:bookmarkEnd w:id="97"/>
      <w:bookmarkEnd w:id="98"/>
      <w:bookmarkEnd w:id="99"/>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统筹优化港口、产业、城镇、生态四类空间布局，严守开发边界，推动港口功能、产业功能、城市功能、生态功能有机衔接，构建集约紧凑、绿色低碳的空间格局。严守“三条控制线”，规范全域开发秩序，严控无序扩张。健全“增存挂钩”和闲置土地处置机制，盘活存量用地，推动土地资源向重点产业、重大项目倾斜，实现港产城高质量可持续发展。</w:t>
      </w:r>
    </w:p>
    <w:p w14:paraId="5A308964">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30" w:lineRule="exact"/>
        <w:ind w:firstLine="640" w:firstLineChars="200"/>
        <w:jc w:val="both"/>
        <w:textAlignment w:val="auto"/>
        <w:outlineLvl w:val="9"/>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bookmarkStart w:id="100" w:name="_Toc22015"/>
      <w:bookmarkStart w:id="101" w:name="_Toc8278"/>
      <w:bookmarkStart w:id="102" w:name="_Toc7820"/>
      <w:bookmarkStart w:id="103" w:name="_Toc19921"/>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四、优化城镇化治理系统。</w:t>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深化“园区—镇（区）—村（社区）—网格”四级管理体系，实现管理服务全覆盖；推进智慧化治理，整合各类数据资源，提升风险预警与应急处置能力；畅通群众参与渠道，构建共建共治共享的治理格局。</w:t>
      </w:r>
      <w:bookmarkEnd w:id="100"/>
      <w:bookmarkEnd w:id="101"/>
      <w:bookmarkEnd w:id="102"/>
      <w:bookmarkEnd w:id="103"/>
    </w:p>
    <w:p w14:paraId="362BB603">
      <w:pPr>
        <w:pStyle w:val="2"/>
        <w:keepNext/>
        <w:keepLines/>
        <w:pageBreakBefore w:val="0"/>
        <w:widowControl w:val="0"/>
        <w:tabs>
          <w:tab w:val="right" w:leader="dot" w:pos="6300"/>
        </w:tabs>
        <w:kinsoku/>
        <w:wordWrap/>
        <w:overflowPunct/>
        <w:topLinePunct w:val="0"/>
        <w:autoSpaceDE/>
        <w:autoSpaceDN/>
        <w:bidi w:val="0"/>
        <w:adjustRightInd/>
        <w:snapToGrid/>
        <w:spacing w:before="0" w:after="0" w:line="600" w:lineRule="exact"/>
        <w:jc w:val="center"/>
        <w:textAlignment w:val="auto"/>
        <w:rPr>
          <w:rFonts w:hint="eastAsia" w:ascii="微软雅黑" w:hAnsi="微软雅黑" w:eastAsia="微软雅黑" w:cs="微软雅黑"/>
          <w:b w:val="0"/>
          <w:bCs/>
          <w:color w:val="000000" w:themeColor="text1"/>
          <w:sz w:val="44"/>
          <w:szCs w:val="44"/>
          <w:lang w:val="en-US" w:eastAsia="zh-CN"/>
          <w14:textFill>
            <w14:solidFill>
              <w14:schemeClr w14:val="tx1"/>
            </w14:solidFill>
          </w14:textFill>
        </w:rPr>
      </w:pPr>
      <w:bookmarkStart w:id="104" w:name="_Toc16871"/>
      <w:bookmarkStart w:id="105" w:name="_Toc1064"/>
      <w:bookmarkStart w:id="106" w:name="_Toc20890"/>
      <w:bookmarkStart w:id="107" w:name="_Toc8268"/>
    </w:p>
    <w:p w14:paraId="1AF49D4D">
      <w:pPr>
        <w:rPr>
          <w:rFonts w:hint="eastAsia" w:ascii="微软雅黑" w:hAnsi="微软雅黑" w:eastAsia="微软雅黑" w:cs="微软雅黑"/>
          <w:b w:val="0"/>
          <w:bCs/>
          <w:color w:val="000000" w:themeColor="text1"/>
          <w:sz w:val="44"/>
          <w:szCs w:val="44"/>
          <w:lang w:val="en-US" w:eastAsia="zh-CN"/>
          <w14:textFill>
            <w14:solidFill>
              <w14:schemeClr w14:val="tx1"/>
            </w14:solidFill>
          </w14:textFill>
        </w:rPr>
      </w:pPr>
    </w:p>
    <w:p w14:paraId="259481E4">
      <w:pPr>
        <w:pStyle w:val="2"/>
        <w:keepNext/>
        <w:keepLines/>
        <w:pageBreakBefore w:val="0"/>
        <w:widowControl w:val="0"/>
        <w:tabs>
          <w:tab w:val="right" w:leader="dot" w:pos="6300"/>
        </w:tabs>
        <w:kinsoku/>
        <w:wordWrap/>
        <w:overflowPunct/>
        <w:topLinePunct w:val="0"/>
        <w:autoSpaceDE/>
        <w:autoSpaceDN/>
        <w:bidi w:val="0"/>
        <w:adjustRightInd/>
        <w:snapToGrid/>
        <w:spacing w:before="0" w:after="0" w:line="600" w:lineRule="exact"/>
        <w:jc w:val="center"/>
        <w:textAlignment w:val="auto"/>
        <w:rPr>
          <w:rFonts w:hint="eastAsia" w:ascii="微软雅黑" w:hAnsi="微软雅黑" w:eastAsia="微软雅黑" w:cs="微软雅黑"/>
          <w:b w:val="0"/>
          <w:bCs/>
          <w:color w:val="000000" w:themeColor="text1"/>
          <w:sz w:val="44"/>
          <w:szCs w:val="44"/>
          <w14:textFill>
            <w14:solidFill>
              <w14:schemeClr w14:val="tx1"/>
            </w14:solidFill>
          </w14:textFill>
        </w:rPr>
      </w:pPr>
      <w:r>
        <w:rPr>
          <w:rFonts w:hint="eastAsia" w:ascii="微软雅黑" w:hAnsi="微软雅黑" w:eastAsia="微软雅黑" w:cs="微软雅黑"/>
          <w:b w:val="0"/>
          <w:bCs/>
          <w:color w:val="000000" w:themeColor="text1"/>
          <w:sz w:val="44"/>
          <w:szCs w:val="44"/>
          <w:lang w:val="en-US" w:eastAsia="zh-CN"/>
          <w14:textFill>
            <w14:solidFill>
              <w14:schemeClr w14:val="tx1"/>
            </w14:solidFill>
          </w14:textFill>
        </w:rPr>
        <w:t>第三章 加快建成</w:t>
      </w:r>
      <w:r>
        <w:rPr>
          <w:rFonts w:hint="eastAsia" w:ascii="微软雅黑" w:hAnsi="微软雅黑" w:eastAsia="微软雅黑" w:cs="微软雅黑"/>
          <w:b w:val="0"/>
          <w:bCs/>
          <w:color w:val="000000" w:themeColor="text1"/>
          <w:sz w:val="44"/>
          <w:szCs w:val="44"/>
          <w14:textFill>
            <w14:solidFill>
              <w14:schemeClr w14:val="tx1"/>
            </w14:solidFill>
          </w14:textFill>
        </w:rPr>
        <w:t>枢纽港</w:t>
      </w:r>
      <w:bookmarkEnd w:id="104"/>
      <w:bookmarkEnd w:id="105"/>
      <w:bookmarkEnd w:id="106"/>
    </w:p>
    <w:p w14:paraId="6411684B">
      <w:pPr>
        <w:pStyle w:val="2"/>
        <w:keepNext/>
        <w:keepLines/>
        <w:pageBreakBefore w:val="0"/>
        <w:widowControl w:val="0"/>
        <w:tabs>
          <w:tab w:val="right" w:leader="dot" w:pos="6300"/>
        </w:tabs>
        <w:kinsoku/>
        <w:wordWrap/>
        <w:overflowPunct/>
        <w:topLinePunct w:val="0"/>
        <w:autoSpaceDE/>
        <w:autoSpaceDN/>
        <w:bidi w:val="0"/>
        <w:adjustRightInd/>
        <w:snapToGrid/>
        <w:spacing w:before="0" w:after="0" w:line="600" w:lineRule="exact"/>
        <w:jc w:val="center"/>
        <w:textAlignment w:val="auto"/>
        <w:rPr>
          <w:rFonts w:hint="eastAsia" w:ascii="微软雅黑" w:hAnsi="微软雅黑" w:eastAsia="微软雅黑" w:cs="微软雅黑"/>
          <w:b w:val="0"/>
          <w:bCs/>
          <w:color w:val="000000" w:themeColor="text1"/>
          <w:sz w:val="44"/>
          <w:szCs w:val="44"/>
          <w:lang w:val="en-US" w:eastAsia="zh-CN"/>
          <w14:textFill>
            <w14:solidFill>
              <w14:schemeClr w14:val="tx1"/>
            </w14:solidFill>
          </w14:textFill>
        </w:rPr>
      </w:pPr>
      <w:bookmarkStart w:id="108" w:name="_Toc21978"/>
      <w:bookmarkStart w:id="109" w:name="_Toc7218"/>
      <w:bookmarkStart w:id="110" w:name="_Toc16342"/>
      <w:bookmarkStart w:id="111" w:name="_Toc15760"/>
      <w:bookmarkStart w:id="112" w:name="_Toc6419"/>
      <w:bookmarkStart w:id="113" w:name="_Toc16092"/>
      <w:r>
        <w:rPr>
          <w:rFonts w:hint="eastAsia" w:ascii="微软雅黑" w:hAnsi="微软雅黑" w:eastAsia="微软雅黑" w:cs="微软雅黑"/>
          <w:b w:val="0"/>
          <w:bCs/>
          <w:color w:val="000000" w:themeColor="text1"/>
          <w:sz w:val="44"/>
          <w:szCs w:val="44"/>
          <w:lang w:val="en-US" w:eastAsia="zh-CN"/>
          <w14:textFill>
            <w14:solidFill>
              <w14:schemeClr w14:val="tx1"/>
            </w14:solidFill>
          </w14:textFill>
        </w:rPr>
        <w:t>打造</w:t>
      </w:r>
      <w:r>
        <w:rPr>
          <w:rFonts w:hint="eastAsia" w:ascii="微软雅黑" w:hAnsi="微软雅黑" w:eastAsia="微软雅黑" w:cs="微软雅黑"/>
          <w:b w:val="0"/>
          <w:bCs/>
          <w:color w:val="000000" w:themeColor="text1"/>
          <w:sz w:val="44"/>
          <w:szCs w:val="44"/>
          <w14:textFill>
            <w14:solidFill>
              <w14:schemeClr w14:val="tx1"/>
            </w14:solidFill>
          </w14:textFill>
        </w:rPr>
        <w:t>长江中游多式联运</w:t>
      </w:r>
      <w:r>
        <w:rPr>
          <w:rFonts w:hint="eastAsia" w:ascii="微软雅黑" w:hAnsi="微软雅黑" w:eastAsia="微软雅黑" w:cs="微软雅黑"/>
          <w:b w:val="0"/>
          <w:bCs/>
          <w:color w:val="000000" w:themeColor="text1"/>
          <w:sz w:val="44"/>
          <w:szCs w:val="44"/>
          <w:lang w:val="en-US" w:eastAsia="zh-CN"/>
          <w14:textFill>
            <w14:solidFill>
              <w14:schemeClr w14:val="tx1"/>
            </w14:solidFill>
          </w14:textFill>
        </w:rPr>
        <w:t>重要</w:t>
      </w:r>
      <w:r>
        <w:rPr>
          <w:rFonts w:hint="eastAsia" w:ascii="微软雅黑" w:hAnsi="微软雅黑" w:eastAsia="微软雅黑" w:cs="微软雅黑"/>
          <w:b w:val="0"/>
          <w:bCs/>
          <w:color w:val="000000" w:themeColor="text1"/>
          <w:sz w:val="44"/>
          <w:szCs w:val="44"/>
          <w14:textFill>
            <w14:solidFill>
              <w14:schemeClr w14:val="tx1"/>
            </w14:solidFill>
          </w14:textFill>
        </w:rPr>
        <w:t>节点</w:t>
      </w:r>
      <w:bookmarkEnd w:id="107"/>
      <w:bookmarkEnd w:id="108"/>
      <w:bookmarkEnd w:id="109"/>
      <w:bookmarkEnd w:id="110"/>
      <w:bookmarkEnd w:id="111"/>
      <w:bookmarkEnd w:id="112"/>
      <w:bookmarkEnd w:id="113"/>
    </w:p>
    <w:p w14:paraId="4BD79AF7">
      <w:pPr>
        <w:keepNext w:val="0"/>
        <w:keepLines w:val="0"/>
        <w:pageBreakBefore w:val="0"/>
        <w:widowControl w:val="0"/>
        <w:tabs>
          <w:tab w:val="right" w:leader="dot" w:pos="6300"/>
        </w:tabs>
        <w:kinsoku/>
        <w:wordWrap/>
        <w:overflowPunct/>
        <w:topLinePunct w:val="0"/>
        <w:autoSpaceDE/>
        <w:autoSpaceDN/>
        <w:bidi w:val="0"/>
        <w:adjustRightInd/>
        <w:snapToGrid/>
        <w:spacing w:line="4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73265FA9">
      <w:pPr>
        <w:keepNext w:val="0"/>
        <w:keepLines w:val="0"/>
        <w:pageBreakBefore w:val="0"/>
        <w:widowControl w:val="0"/>
        <w:tabs>
          <w:tab w:val="right" w:leader="dot" w:pos="6300"/>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以交通强国战略为引领，锚定长江经济带高质量发展与武鄂黄黄国际综合交通枢纽建设大局，紧扣湖北省“五主十重”现代化港口体系部署，统筹基础设施提质、联运体系优化、储运功能升级三大主线。到2030年，货物吞吐量突破1亿吨、集装箱吞吐量达15万标箱，铁水联运货运量突破300万吨，构建“功能完备、智慧便捷、绿色低碳、辐射广泛”的枢纽运行新格局，全面建成长江中游多式联运核心节点与大宗商品资源配置枢纽</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7DA89A5E">
      <w:pPr>
        <w:keepNext w:val="0"/>
        <w:keepLines w:val="0"/>
        <w:pageBreakBefore w:val="0"/>
        <w:widowControl w:val="0"/>
        <w:tabs>
          <w:tab w:val="right" w:leader="dot" w:pos="6300"/>
        </w:tabs>
        <w:kinsoku/>
        <w:wordWrap/>
        <w:overflowPunct/>
        <w:topLinePunct w:val="0"/>
        <w:autoSpaceDE/>
        <w:autoSpaceDN/>
        <w:bidi w:val="0"/>
        <w:adjustRightInd/>
        <w:snapToGrid/>
        <w:spacing w:line="4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114" w:name="_Toc21515"/>
    </w:p>
    <w:p w14:paraId="4A7CA42F">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jc w:val="center"/>
        <w:textAlignment w:val="auto"/>
        <w:outlineLvl w:val="0"/>
        <w:rPr>
          <w:rFonts w:hint="default" w:eastAsia="宋体"/>
          <w:color w:val="000000" w:themeColor="text1"/>
          <w:lang w:val="en-US" w:eastAsia="zh-CN"/>
          <w14:textFill>
            <w14:solidFill>
              <w14:schemeClr w14:val="tx1"/>
            </w14:solidFill>
          </w14:textFill>
        </w:rPr>
      </w:pPr>
      <w:bookmarkStart w:id="115" w:name="_Toc31673"/>
      <w:bookmarkStart w:id="116" w:name="_Toc9262"/>
      <w:r>
        <w:rPr>
          <w:rFonts w:hint="eastAsia"/>
          <w:color w:val="000000" w:themeColor="text1"/>
          <w:lang w:val="en-US" w:eastAsia="zh-CN"/>
          <w14:textFill>
            <w14:solidFill>
              <w14:schemeClr w14:val="tx1"/>
            </w14:solidFill>
          </w14:textFill>
        </w:rPr>
        <w:t xml:space="preserve">第一节 </w:t>
      </w:r>
      <w:r>
        <w:rPr>
          <w:rFonts w:hint="eastAsia"/>
          <w:color w:val="000000" w:themeColor="text1"/>
          <w14:textFill>
            <w14:solidFill>
              <w14:schemeClr w14:val="tx1"/>
            </w14:solidFill>
          </w14:textFill>
        </w:rPr>
        <w:t>港口基础设施</w:t>
      </w:r>
      <w:bookmarkEnd w:id="114"/>
      <w:r>
        <w:rPr>
          <w:rFonts w:hint="eastAsia"/>
          <w:color w:val="000000" w:themeColor="text1"/>
          <w:lang w:val="en-US" w:eastAsia="zh-CN"/>
          <w14:textFill>
            <w14:solidFill>
              <w14:schemeClr w14:val="tx1"/>
            </w14:solidFill>
          </w14:textFill>
        </w:rPr>
        <w:t>提档升级</w:t>
      </w:r>
      <w:bookmarkEnd w:id="115"/>
      <w:bookmarkEnd w:id="116"/>
    </w:p>
    <w:p w14:paraId="0EBAB67E">
      <w:pPr>
        <w:keepNext w:val="0"/>
        <w:keepLines w:val="0"/>
        <w:pageBreakBefore w:val="0"/>
        <w:widowControl w:val="0"/>
        <w:tabs>
          <w:tab w:val="right" w:leader="dot" w:pos="6300"/>
        </w:tabs>
        <w:kinsoku/>
        <w:wordWrap/>
        <w:overflowPunct/>
        <w:topLinePunct w:val="0"/>
        <w:autoSpaceDE/>
        <w:autoSpaceDN/>
        <w:bidi w:val="0"/>
        <w:adjustRightInd/>
        <w:snapToGrid/>
        <w:spacing w:line="4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36D9353D">
      <w:pPr>
        <w:keepNext w:val="0"/>
        <w:keepLines w:val="0"/>
        <w:pageBreakBefore w:val="0"/>
        <w:widowControl w:val="0"/>
        <w:tabs>
          <w:tab w:val="right" w:leader="dot" w:pos="6300"/>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锚定“亿吨大港”核心目标，以提升港口承载能力与专业化水平为重点，推进泊位升级、硬件配套与功能拓展，全面强化港口基础设施支撑，到2030年实现货物吞吐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量</w:t>
      </w:r>
      <w:r>
        <w:rPr>
          <w:rFonts w:hint="eastAsia" w:ascii="仿宋_GB2312" w:hAnsi="仿宋_GB2312" w:eastAsia="仿宋_GB2312" w:cs="仿宋_GB2312"/>
          <w:color w:val="000000" w:themeColor="text1"/>
          <w:sz w:val="32"/>
          <w:szCs w:val="32"/>
          <w14:textFill>
            <w14:solidFill>
              <w14:schemeClr w14:val="tx1"/>
            </w14:solidFill>
          </w14:textFill>
        </w:rPr>
        <w:t>达</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10000万</w:t>
      </w:r>
      <w:r>
        <w:rPr>
          <w:rFonts w:hint="eastAsia" w:ascii="仿宋_GB2312" w:hAnsi="仿宋_GB2312" w:eastAsia="仿宋_GB2312" w:cs="仿宋_GB2312"/>
          <w:color w:val="000000" w:themeColor="text1"/>
          <w:sz w:val="32"/>
          <w:szCs w:val="32"/>
          <w14:textFill>
            <w14:solidFill>
              <w14:schemeClr w14:val="tx1"/>
            </w14:solidFill>
          </w14:textFill>
        </w:rPr>
        <w:t>吨、集装箱吞吐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量</w:t>
      </w:r>
      <w:r>
        <w:rPr>
          <w:rFonts w:hint="eastAsia" w:ascii="仿宋_GB2312" w:hAnsi="仿宋_GB2312" w:eastAsia="仿宋_GB2312" w:cs="仿宋_GB2312"/>
          <w:color w:val="000000" w:themeColor="text1"/>
          <w:sz w:val="32"/>
          <w:szCs w:val="32"/>
          <w14:textFill>
            <w14:solidFill>
              <w14:schemeClr w14:val="tx1"/>
            </w14:solidFill>
          </w14:textFill>
        </w:rPr>
        <w:t>达15万标箱</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524E46EF">
      <w:pPr>
        <w:keepNext w:val="0"/>
        <w:keepLines w:val="0"/>
        <w:pageBreakBefore w:val="0"/>
        <w:widowControl w:val="0"/>
        <w:tabs>
          <w:tab w:val="right" w:leader="dot" w:pos="6300"/>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一、优化升级</w:t>
      </w:r>
      <w:r>
        <w:rPr>
          <w:rStyle w:val="21"/>
          <w:rFonts w:hint="eastAsia" w:ascii="黑体" w:hAnsi="黑体" w:eastAsia="黑体" w:cs="黑体"/>
          <w:b w:val="0"/>
          <w:bCs w:val="0"/>
          <w:color w:val="000000" w:themeColor="text1"/>
          <w:sz w:val="32"/>
          <w:szCs w:val="32"/>
          <w14:textFill>
            <w14:solidFill>
              <w14:schemeClr w14:val="tx1"/>
            </w14:solidFill>
          </w14:textFill>
        </w:rPr>
        <w:t>泊位</w:t>
      </w: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能级</w:t>
      </w:r>
      <w:r>
        <w:rPr>
          <w:rStyle w:val="21"/>
          <w:rFonts w:hint="eastAsia" w:ascii="黑体" w:hAnsi="黑体" w:eastAsia="黑体" w:cs="黑体"/>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聚焦功能补短板与能级跃升，深挖现有万吨级泊位运营潜力，推动泊位协同联动、满负荷运转，最大化释放既有产能。紧扣临港产业发展需求，科学谋划港口四期工程布局，</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协调推进新港一期、二期泊位靠泊能力提升改造，</w:t>
      </w:r>
      <w:r>
        <w:rPr>
          <w:rFonts w:hint="eastAsia" w:ascii="仿宋_GB2312" w:hAnsi="仿宋_GB2312" w:eastAsia="仿宋_GB2312" w:cs="仿宋_GB2312"/>
          <w:color w:val="000000" w:themeColor="text1"/>
          <w:sz w:val="32"/>
          <w:szCs w:val="32"/>
          <w14:textFill>
            <w14:solidFill>
              <w14:schemeClr w14:val="tx1"/>
            </w14:solidFill>
          </w14:textFill>
        </w:rPr>
        <w:t>强化集装箱、散货、危化品等货类承运能力，重点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推进LNG加注码头项目建设，</w:t>
      </w:r>
      <w:r>
        <w:rPr>
          <w:rFonts w:hint="eastAsia" w:ascii="仿宋_GB2312" w:hAnsi="仿宋_GB2312" w:eastAsia="仿宋_GB2312" w:cs="仿宋_GB2312"/>
          <w:color w:val="000000" w:themeColor="text1"/>
          <w:sz w:val="32"/>
          <w:szCs w:val="32"/>
          <w14:textFill>
            <w14:solidFill>
              <w14:schemeClr w14:val="tx1"/>
            </w14:solidFill>
          </w14:textFill>
        </w:rPr>
        <w:t>补齐滚装运输功能缺口，预留新能源相关配套泊位空间，实现码头布局与后方</w:t>
      </w:r>
      <w:r>
        <w:rPr>
          <w:rFonts w:hint="eastAsia" w:ascii="仿宋_GB2312" w:hAnsi="仿宋_GB2312" w:eastAsia="仿宋_GB2312" w:cs="仿宋_GB2312"/>
          <w:color w:val="000000" w:themeColor="text1"/>
          <w:sz w:val="32"/>
          <w:szCs w:val="32"/>
          <w:lang w:eastAsia="zh-CN"/>
          <w14:textFill>
            <w14:solidFill>
              <w14:schemeClr w14:val="tx1"/>
            </w14:solidFill>
          </w14:textFill>
        </w:rPr>
        <w:t>低碳冶金</w:t>
      </w:r>
      <w:r>
        <w:rPr>
          <w:rFonts w:hint="eastAsia" w:ascii="仿宋_GB2312" w:hAnsi="仿宋_GB2312" w:eastAsia="仿宋_GB2312" w:cs="仿宋_GB2312"/>
          <w:color w:val="000000" w:themeColor="text1"/>
          <w:sz w:val="32"/>
          <w:szCs w:val="32"/>
          <w14:textFill>
            <w14:solidFill>
              <w14:schemeClr w14:val="tx1"/>
            </w14:solidFill>
          </w14:textFill>
        </w:rPr>
        <w:t>、新能源等产业发展精准对接，全面提升泊位适配性与综合承载效能。到2030年实现货物吞吐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量</w:t>
      </w:r>
      <w:r>
        <w:rPr>
          <w:rFonts w:hint="eastAsia" w:ascii="仿宋_GB2312" w:hAnsi="仿宋_GB2312" w:eastAsia="仿宋_GB2312" w:cs="仿宋_GB2312"/>
          <w:color w:val="000000" w:themeColor="text1"/>
          <w:sz w:val="32"/>
          <w:szCs w:val="32"/>
          <w14:textFill>
            <w14:solidFill>
              <w14:schemeClr w14:val="tx1"/>
            </w14:solidFill>
          </w14:textFill>
        </w:rPr>
        <w:t>达</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14:textFill>
            <w14:solidFill>
              <w14:schemeClr w14:val="tx1"/>
            </w14:solidFill>
          </w14:textFill>
        </w:rPr>
        <w:t>000万吨、集装箱吞吐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量</w:t>
      </w:r>
      <w:r>
        <w:rPr>
          <w:rFonts w:hint="eastAsia" w:ascii="仿宋_GB2312" w:hAnsi="仿宋_GB2312" w:eastAsia="仿宋_GB2312" w:cs="仿宋_GB2312"/>
          <w:color w:val="000000" w:themeColor="text1"/>
          <w:sz w:val="32"/>
          <w:szCs w:val="32"/>
          <w14:textFill>
            <w14:solidFill>
              <w14:schemeClr w14:val="tx1"/>
            </w14:solidFill>
          </w14:textFill>
        </w:rPr>
        <w:t>达15万标箱</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0F304DD1">
      <w:pPr>
        <w:keepNext w:val="0"/>
        <w:keepLines w:val="0"/>
        <w:pageBreakBefore w:val="0"/>
        <w:widowControl w:val="0"/>
        <w:tabs>
          <w:tab w:val="right" w:leader="dot" w:pos="6300"/>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二、港口数智化升级。</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5G技术为支撑推进智慧港口建设，搭建数据中台与设备自动化控制系统，实现智能调度、安全管控、环境监控、设备运维的数字化融合。推进集装箱自动化堆场、智能闸口建设及地磅无人化改造，实现核心环节无人化、高效化作业；搭建智能通关服务平台，完善特殊货类专业化监管设施，达成“快检快放”与精准监管，提升跨境运输效率。</w:t>
      </w:r>
    </w:p>
    <w:p w14:paraId="2C865E1E">
      <w:pPr>
        <w:keepNext w:val="0"/>
        <w:keepLines w:val="0"/>
        <w:pageBreakBefore w:val="0"/>
        <w:widowControl w:val="0"/>
        <w:tabs>
          <w:tab w:val="right" w:leader="dot" w:pos="6300"/>
        </w:tabs>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32"/>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三、港口绿色化改造。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践行生态优先理念，升级船舶污染物接收专用码头，健全“接收—转运—处置”闭环管理机制，确保船舶污染物应收尽收、规范处置。推进港口机械氢能化改造与新能源运输工具替代，合理布局重卡换电站、充电桩等绿色能源基础设施，推进船舶绿色能源改造，优化港口用能结构，构建低碳环保、清洁高效的港口作业环境。</w:t>
      </w:r>
    </w:p>
    <w:p w14:paraId="4818F09E">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left="0" w:leftChars="0" w:firstLine="0" w:firstLineChars="0"/>
        <w:jc w:val="center"/>
        <w:textAlignment w:val="auto"/>
        <w:rPr>
          <w:rFonts w:hint="eastAsia" w:ascii="黑体" w:hAnsi="黑体" w:eastAsia="黑体" w:cs="黑体"/>
          <w:color w:val="000000" w:themeColor="text1"/>
          <w:sz w:val="32"/>
          <w:szCs w:val="32"/>
          <w:lang w:val="en-US" w:eastAsia="zh-CN"/>
          <w14:textFill>
            <w14:solidFill>
              <w14:schemeClr w14:val="tx1"/>
            </w14:solidFill>
          </w14:textFill>
        </w:rPr>
      </w:pPr>
      <w:bookmarkStart w:id="117" w:name="_Toc14661"/>
    </w:p>
    <w:p w14:paraId="78AA2215">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left="0" w:leftChars="0" w:firstLine="0" w:firstLineChars="0"/>
        <w:jc w:val="center"/>
        <w:textAlignment w:val="auto"/>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专栏3：新港园区港口基础设施重点工程</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74"/>
      </w:tblGrid>
      <w:tr w14:paraId="79A45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4" w:type="dxa"/>
          </w:tcPr>
          <w:p w14:paraId="35FEBE77">
            <w:pPr>
              <w:keepNext w:val="0"/>
              <w:keepLines w:val="0"/>
              <w:pageBreakBefore w:val="0"/>
              <w:widowControl/>
              <w:numPr>
                <w:ilvl w:val="0"/>
                <w:numId w:val="0"/>
              </w:numPr>
              <w:suppressLineNumbers w:val="0"/>
              <w:pBdr>
                <w:left w:val="none" w:color="auto" w:sz="0" w:space="0"/>
              </w:pBdr>
              <w:tabs>
                <w:tab w:val="right" w:leader="dot" w:pos="6300"/>
              </w:tabs>
              <w:kinsoku/>
              <w:wordWrap/>
              <w:overflowPunct/>
              <w:topLinePunct w:val="0"/>
              <w:autoSpaceDE/>
              <w:autoSpaceDN/>
              <w:bidi w:val="0"/>
              <w:adjustRightInd/>
              <w:snapToGrid/>
              <w:spacing w:before="0" w:beforeAutospacing="0" w:after="0" w:afterAutospacing="0" w:line="540" w:lineRule="exact"/>
              <w:ind w:firstLine="640" w:firstLineChars="200"/>
              <w:textAlignment w:val="auto"/>
              <w:rPr>
                <w:rFonts w:hint="eastAsia" w:ascii="楷体_GB2312" w:hAnsi="楷体_GB2312" w:eastAsia="宋体" w:cs="楷体_GB2312"/>
                <w:color w:val="000000" w:themeColor="text1"/>
                <w:sz w:val="32"/>
                <w:szCs w:val="32"/>
                <w:vertAlign w:val="baseline"/>
                <w:lang w:val="en-US" w:eastAsia="zh-CN"/>
                <w14:textFill>
                  <w14:solidFill>
                    <w14:schemeClr w14:val="tx1"/>
                  </w14:solidFill>
                </w14:textFill>
              </w:rPr>
            </w:pPr>
            <w:r>
              <w:rPr>
                <w:rFonts w:hint="eastAsia" w:ascii="楷体" w:hAnsi="楷体" w:eastAsia="楷体" w:cs="楷体"/>
                <w:i w:val="0"/>
                <w:iCs w:val="0"/>
                <w:caps w:val="0"/>
                <w:color w:val="000000" w:themeColor="text1"/>
                <w:spacing w:val="0"/>
                <w:sz w:val="32"/>
                <w:szCs w:val="32"/>
                <w:shd w:val="clear" w:fill="FFFFFF"/>
                <w14:textFill>
                  <w14:solidFill>
                    <w14:schemeClr w14:val="tx1"/>
                  </w14:solidFill>
                </w14:textFill>
              </w:rPr>
              <w:t>港口5G智慧工程</w:t>
            </w:r>
            <w:r>
              <w:rPr>
                <w:rFonts w:hint="eastAsia" w:ascii="楷体" w:hAnsi="楷体" w:eastAsia="楷体" w:cs="楷体"/>
                <w:i w:val="0"/>
                <w:iCs w:val="0"/>
                <w:caps w:val="0"/>
                <w:color w:val="000000" w:themeColor="text1"/>
                <w:spacing w:val="0"/>
                <w:sz w:val="32"/>
                <w:szCs w:val="32"/>
                <w:shd w:val="clear" w:fill="FFFFFF"/>
                <w:lang w:eastAsia="zh-CN"/>
                <w14:textFill>
                  <w14:solidFill>
                    <w14:schemeClr w14:val="tx1"/>
                  </w14:solidFill>
                </w14:textFill>
              </w:rPr>
              <w:t>、</w:t>
            </w:r>
            <w:r>
              <w:rPr>
                <w:rFonts w:hint="eastAsia" w:ascii="楷体" w:hAnsi="楷体" w:eastAsia="楷体" w:cs="楷体"/>
                <w:i w:val="0"/>
                <w:iCs w:val="0"/>
                <w:caps w:val="0"/>
                <w:color w:val="000000" w:themeColor="text1"/>
                <w:spacing w:val="0"/>
                <w:sz w:val="32"/>
                <w:szCs w:val="32"/>
                <w:shd w:val="clear" w:fill="FFFFFF"/>
                <w14:textFill>
                  <w14:solidFill>
                    <w14:schemeClr w14:val="tx1"/>
                  </w14:solidFill>
                </w14:textFill>
              </w:rPr>
              <w:t>中石油长江LNG接收站和加注储气项目</w:t>
            </w:r>
            <w:r>
              <w:rPr>
                <w:rFonts w:hint="eastAsia" w:ascii="楷体" w:hAnsi="楷体" w:eastAsia="楷体" w:cs="楷体"/>
                <w:color w:val="000000" w:themeColor="text1"/>
                <w:sz w:val="32"/>
                <w:szCs w:val="32"/>
                <w:lang w:eastAsia="zh-CN"/>
                <w14:textFill>
                  <w14:solidFill>
                    <w14:schemeClr w14:val="tx1"/>
                  </w14:solidFill>
                </w14:textFill>
              </w:rPr>
              <w:t>、</w:t>
            </w:r>
            <w:r>
              <w:rPr>
                <w:rFonts w:hint="eastAsia" w:ascii="楷体" w:hAnsi="楷体" w:eastAsia="楷体" w:cs="楷体"/>
                <w:i w:val="0"/>
                <w:iCs w:val="0"/>
                <w:caps w:val="0"/>
                <w:color w:val="000000" w:themeColor="text1"/>
                <w:spacing w:val="0"/>
                <w:sz w:val="32"/>
                <w:szCs w:val="32"/>
                <w:shd w:val="clear" w:fill="FFFFFF"/>
                <w14:textFill>
                  <w14:solidFill>
                    <w14:schemeClr w14:val="tx1"/>
                  </w14:solidFill>
                </w14:textFill>
              </w:rPr>
              <w:t>黄石棋盘洲港区棋盘洲作业区（新港四期工程）项目</w:t>
            </w:r>
            <w:r>
              <w:rPr>
                <w:rFonts w:hint="eastAsia" w:ascii="楷体" w:hAnsi="楷体" w:eastAsia="楷体" w:cs="楷体"/>
                <w:i w:val="0"/>
                <w:iCs w:val="0"/>
                <w:caps w:val="0"/>
                <w:color w:val="000000" w:themeColor="text1"/>
                <w:spacing w:val="0"/>
                <w:sz w:val="32"/>
                <w:szCs w:val="32"/>
                <w:shd w:val="clear" w:fill="FFFFFF"/>
                <w:lang w:eastAsia="zh-CN"/>
                <w14:textFill>
                  <w14:solidFill>
                    <w14:schemeClr w14:val="tx1"/>
                  </w14:solidFill>
                </w14:textFill>
              </w:rPr>
              <w:t>、</w:t>
            </w:r>
            <w:r>
              <w:rPr>
                <w:rFonts w:hint="eastAsia" w:ascii="楷体" w:hAnsi="楷体" w:eastAsia="楷体" w:cs="楷体"/>
                <w:i w:val="0"/>
                <w:iCs w:val="0"/>
                <w:caps w:val="0"/>
                <w:color w:val="000000" w:themeColor="text1"/>
                <w:spacing w:val="0"/>
                <w:sz w:val="32"/>
                <w:szCs w:val="32"/>
                <w:shd w:val="clear" w:fill="FFFFFF"/>
                <w14:textFill>
                  <w14:solidFill>
                    <w14:schemeClr w14:val="tx1"/>
                  </w14:solidFill>
                </w14:textFill>
              </w:rPr>
              <w:t>绿色智能船舶综合服务中心</w:t>
            </w:r>
            <w:r>
              <w:rPr>
                <w:rFonts w:hint="eastAsia" w:ascii="楷体" w:hAnsi="楷体" w:eastAsia="楷体" w:cs="楷体"/>
                <w:i w:val="0"/>
                <w:iCs w:val="0"/>
                <w:caps w:val="0"/>
                <w:color w:val="000000" w:themeColor="text1"/>
                <w:spacing w:val="0"/>
                <w:sz w:val="32"/>
                <w:szCs w:val="32"/>
                <w:shd w:val="clear" w:fill="FFFFFF"/>
                <w:lang w:eastAsia="zh-CN"/>
                <w14:textFill>
                  <w14:solidFill>
                    <w14:schemeClr w14:val="tx1"/>
                  </w14:solidFill>
                </w14:textFill>
              </w:rPr>
              <w:t>、新港港口公司三期全封闭气膜仓建设二期项目、黄石新港远程控制无人堆场智慧港口建设。</w:t>
            </w:r>
          </w:p>
        </w:tc>
      </w:tr>
    </w:tbl>
    <w:p w14:paraId="7BAAA33D">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jc w:val="center"/>
        <w:textAlignment w:val="auto"/>
        <w:outlineLvl w:val="0"/>
        <w:rPr>
          <w:rFonts w:hint="eastAsia"/>
          <w:color w:val="000000" w:themeColor="text1"/>
          <w:lang w:val="en-US" w:eastAsia="zh-CN"/>
          <w14:textFill>
            <w14:solidFill>
              <w14:schemeClr w14:val="tx1"/>
            </w14:solidFill>
          </w14:textFill>
        </w:rPr>
      </w:pPr>
      <w:bookmarkStart w:id="118" w:name="_Toc7661"/>
      <w:bookmarkStart w:id="119" w:name="_Toc3103"/>
    </w:p>
    <w:p w14:paraId="48D65C69">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jc w:val="center"/>
        <w:textAlignment w:val="auto"/>
        <w:outlineLvl w:val="0"/>
        <w:rPr>
          <w:rFonts w:hint="default"/>
          <w:color w:val="000000" w:themeColor="text1"/>
          <w:lang w:val="en-US"/>
          <w14:textFill>
            <w14:solidFill>
              <w14:schemeClr w14:val="tx1"/>
            </w14:solidFill>
          </w14:textFill>
        </w:rPr>
      </w:pPr>
      <w:r>
        <w:rPr>
          <w:rFonts w:hint="eastAsia"/>
          <w:color w:val="000000" w:themeColor="text1"/>
          <w:lang w:val="en-US" w:eastAsia="zh-CN"/>
          <w14:textFill>
            <w14:solidFill>
              <w14:schemeClr w14:val="tx1"/>
            </w14:solidFill>
          </w14:textFill>
        </w:rPr>
        <w:t>第二节 优化多式联运</w:t>
      </w:r>
      <w:bookmarkEnd w:id="117"/>
      <w:r>
        <w:rPr>
          <w:rFonts w:hint="eastAsia"/>
          <w:color w:val="000000" w:themeColor="text1"/>
          <w:lang w:val="en-US" w:eastAsia="zh-CN"/>
          <w14:textFill>
            <w14:solidFill>
              <w14:schemeClr w14:val="tx1"/>
            </w14:solidFill>
          </w14:textFill>
        </w:rPr>
        <w:t>集疏运体系</w:t>
      </w:r>
      <w:bookmarkEnd w:id="118"/>
      <w:bookmarkEnd w:id="119"/>
    </w:p>
    <w:p w14:paraId="67D06A0B">
      <w:pPr>
        <w:keepNext w:val="0"/>
        <w:keepLines w:val="0"/>
        <w:pageBreakBefore w:val="0"/>
        <w:widowControl w:val="0"/>
        <w:tabs>
          <w:tab w:val="right" w:leader="dot" w:pos="6300"/>
        </w:tabs>
        <w:kinsoku/>
        <w:wordWrap/>
        <w:overflowPunct/>
        <w:topLinePunct w:val="0"/>
        <w:autoSpaceDE/>
        <w:autoSpaceDN/>
        <w:bidi w:val="0"/>
        <w:adjustRightInd/>
        <w:snapToGrid/>
        <w:spacing w:line="400" w:lineRule="exact"/>
        <w:ind w:firstLine="640" w:firstLineChars="200"/>
        <w:textAlignment w:val="auto"/>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pPr>
    </w:p>
    <w:p w14:paraId="1220E810">
      <w:pPr>
        <w:keepNext w:val="0"/>
        <w:keepLines w:val="0"/>
        <w:pageBreakBefore w:val="0"/>
        <w:widowControl w:val="0"/>
        <w:tabs>
          <w:tab w:val="right" w:leader="dot" w:pos="6300"/>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以构建“铁水公空管”互联互通、内外畅通的</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多式联运</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综合集疏运体系为目标，强化</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铁水公空管</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协同联动，打通衔接瓶颈，提升运输效率，到2030年铁路年货运吞吐能力达500万吨以上，铁水联运货运量突破300万吨。</w:t>
      </w:r>
    </w:p>
    <w:p w14:paraId="476C6EA3">
      <w:pPr>
        <w:keepNext w:val="0"/>
        <w:keepLines w:val="0"/>
        <w:pageBreakBefore w:val="0"/>
        <w:widowControl w:val="0"/>
        <w:numPr>
          <w:ilvl w:val="0"/>
          <w:numId w:val="0"/>
        </w:numPr>
        <w:tabs>
          <w:tab w:val="right" w:leader="dot" w:pos="6300"/>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一、升级扩容铁路通道。</w:t>
      </w:r>
      <w:r>
        <w:rPr>
          <w:rFonts w:hint="default" w:ascii="仿宋_GB2312" w:hAnsi="仿宋_GB2312" w:eastAsia="仿宋_GB2312" w:cs="仿宋_GB2312"/>
          <w:color w:val="000000" w:themeColor="text1"/>
          <w:sz w:val="32"/>
          <w:szCs w:val="32"/>
          <w:u w:val="none"/>
          <w:lang w:val="en-US" w:eastAsia="zh-CN"/>
          <w14:textFill>
            <w14:solidFill>
              <w14:schemeClr w14:val="tx1"/>
            </w14:solidFill>
          </w14:textFill>
        </w:rPr>
        <w:t>谋划</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黄石新港疏港铁路、</w:t>
      </w:r>
      <w:r>
        <w:rPr>
          <w:rFonts w:hint="default" w:ascii="仿宋_GB2312" w:hAnsi="仿宋_GB2312" w:eastAsia="仿宋_GB2312" w:cs="仿宋_GB2312"/>
          <w:color w:val="000000" w:themeColor="text1"/>
          <w:sz w:val="32"/>
          <w:szCs w:val="32"/>
          <w:u w:val="none"/>
          <w:lang w:val="en-US" w:eastAsia="zh-CN"/>
          <w14:textFill>
            <w14:solidFill>
              <w14:schemeClr w14:val="tx1"/>
            </w14:solidFill>
          </w14:textFill>
        </w:rPr>
        <w:t>沿江疏港铁路三期、四期工程，实现长江沿线港口与武九铁路等区域铁路货运通道的无缝衔接</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深化铁路移交国铁改革，推动“国铁进港”，破解铁水联运“最后一公里”衔接瓶颈；</w:t>
      </w:r>
      <w:r>
        <w:rPr>
          <w:rFonts w:hint="default" w:ascii="仿宋_GB2312" w:hAnsi="仿宋_GB2312" w:eastAsia="仿宋_GB2312" w:cs="仿宋_GB2312"/>
          <w:color w:val="000000" w:themeColor="text1"/>
          <w:sz w:val="32"/>
          <w:szCs w:val="32"/>
          <w:u w:val="none"/>
          <w:lang w:val="en-US" w:eastAsia="zh-CN"/>
          <w14:textFill>
            <w14:solidFill>
              <w14:schemeClr w14:val="tx1"/>
            </w14:solidFill>
          </w14:textFill>
        </w:rPr>
        <w:t>支持大型工矿企业、</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产业（物流）</w:t>
      </w:r>
      <w:r>
        <w:rPr>
          <w:rFonts w:hint="default" w:ascii="仿宋_GB2312" w:hAnsi="仿宋_GB2312" w:eastAsia="仿宋_GB2312" w:cs="仿宋_GB2312"/>
          <w:color w:val="000000" w:themeColor="text1"/>
          <w:sz w:val="32"/>
          <w:szCs w:val="32"/>
          <w:u w:val="none"/>
          <w:lang w:val="en-US" w:eastAsia="zh-CN"/>
          <w14:textFill>
            <w14:solidFill>
              <w14:schemeClr w14:val="tx1"/>
            </w14:solidFill>
          </w14:textFill>
        </w:rPr>
        <w:t>园区新建或改扩建疏港铁路专用线</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实现“厂港直通”</w:t>
      </w:r>
      <w:r>
        <w:rPr>
          <w:rFonts w:hint="default" w:ascii="仿宋_GB2312" w:hAnsi="仿宋_GB2312" w:eastAsia="仿宋_GB2312" w:cs="仿宋_GB2312"/>
          <w:color w:val="000000" w:themeColor="text1"/>
          <w:sz w:val="32"/>
          <w:szCs w:val="32"/>
          <w:u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到2030年铁水联运货运量突破300万吨，衔接效率提升40%。</w:t>
      </w:r>
    </w:p>
    <w:p w14:paraId="4CC589C8">
      <w:pPr>
        <w:keepNext w:val="0"/>
        <w:keepLines w:val="0"/>
        <w:pageBreakBefore w:val="0"/>
        <w:widowControl w:val="0"/>
        <w:numPr>
          <w:ilvl w:val="0"/>
          <w:numId w:val="0"/>
        </w:numPr>
        <w:tabs>
          <w:tab w:val="right" w:leader="dot" w:pos="6300"/>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二、织密公路路网。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以“交通强国试点”为契机，</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构建“对外快速联通、对内高效循环”的现代化公路体系，深度融入武鄂黄黄国际综合交通枢纽。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建成黄石沿江高速新港段并接入国家高速网络</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实现与长三角、珠三角经济区快速通达。打通省道203阳新段，推动园区与阳新城区产业联动、资源互补；推进海口湖疏港公路及支线物流通道建设，配套智慧交通与充电设施，实现与产业片区、海口湖新区无缝衔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推动工横五路、工纵一路、老建材产业园周边公路等公路完工，健全项目服务保障路网，持续围绕园区重点项目规划道路建设。到2030年货物公路运输时效提升30%，构建“20分钟到机场、30分钟达武汉、1小时畅达都市圈”的快速交通网络。</w:t>
      </w:r>
    </w:p>
    <w:p w14:paraId="395178DA">
      <w:pPr>
        <w:keepNext w:val="0"/>
        <w:keepLines w:val="0"/>
        <w:pageBreakBefore w:val="0"/>
        <w:widowControl w:val="0"/>
        <w:tabs>
          <w:tab w:val="right" w:leader="dot" w:pos="6300"/>
        </w:tabs>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三、深化航空联动。</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依托与鄂州花湖机场“半小时交通圈”优势，深化战略合作、拓展联运场景。建设空港物流前置仓与多式联运中转枢纽，配套智能分拣、冷链存储等设施，推行“航空+港口”联程联运模式，实现高附加值货物“空铁水”无缝转运，物流成本降低15%以上。开通花湖机场国际包机航线，构建“综保区－机场”一小时货物转运通道，助力跨境电商、精密制造等产业高效发展。联动机场搭建应急物资无人机转运系统，强化突发事件快速响应能力，形成“港口+空港”双向赋能的立体运输网络，提升对长江中游地区高附加值货物的集散配置能力。</w:t>
      </w:r>
    </w:p>
    <w:p w14:paraId="01736267">
      <w:pPr>
        <w:keepNext w:val="0"/>
        <w:keepLines w:val="0"/>
        <w:pageBreakBefore w:val="0"/>
        <w:widowControl w:val="0"/>
        <w:tabs>
          <w:tab w:val="right" w:leader="dot" w:pos="6300"/>
        </w:tabs>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四、完善管廊布局。</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规划推进货运管廊工程</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，分两期串联港口作业区与北部低碳冶金、粮食加工等产业片区，重点覆盖矿石、粮食、建材等大宗物资运输，推动运输方式从“公转管”转型。</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加快推进货运管廊建设和运营</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，实现大宗物资全天候稳定输送，运输损耗降低80%以上、物流成本下降15%。同步完善管廊与港口码头、产业园区、铁路货场的衔接配套，构建“管廊+铁路+港口”的绿色运输闭环。</w:t>
      </w:r>
    </w:p>
    <w:p w14:paraId="3B1A7942">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left="0" w:leftChars="0" w:firstLine="0" w:firstLineChars="0"/>
        <w:jc w:val="center"/>
        <w:textAlignment w:val="auto"/>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专栏4：新港园区多式联运重点工程</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56"/>
      </w:tblGrid>
      <w:tr w14:paraId="66F32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956" w:type="dxa"/>
          </w:tcPr>
          <w:p w14:paraId="42CA8126">
            <w:pPr>
              <w:keepNext w:val="0"/>
              <w:keepLines w:val="0"/>
              <w:pageBreakBefore w:val="0"/>
              <w:widowControl/>
              <w:numPr>
                <w:ilvl w:val="0"/>
                <w:numId w:val="0"/>
              </w:numPr>
              <w:suppressLineNumbers w:val="0"/>
              <w:pBdr>
                <w:left w:val="none" w:color="auto" w:sz="0" w:space="0"/>
              </w:pBdr>
              <w:tabs>
                <w:tab w:val="right" w:leader="dot" w:pos="6300"/>
              </w:tabs>
              <w:kinsoku/>
              <w:wordWrap/>
              <w:overflowPunct/>
              <w:topLinePunct w:val="0"/>
              <w:autoSpaceDE/>
              <w:autoSpaceDN/>
              <w:bidi w:val="0"/>
              <w:adjustRightInd/>
              <w:snapToGrid/>
              <w:spacing w:before="0" w:beforeAutospacing="0" w:after="0" w:afterAutospacing="0" w:line="540" w:lineRule="exact"/>
              <w:ind w:firstLine="643" w:firstLineChars="200"/>
              <w:textAlignment w:val="auto"/>
              <w:rPr>
                <w:rFonts w:hint="eastAsia" w:ascii="楷体" w:hAnsi="楷体" w:eastAsia="楷体" w:cs="楷体"/>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楷体" w:hAnsi="楷体" w:eastAsia="楷体" w:cs="楷体"/>
                <w:b/>
                <w:bCs/>
                <w:i w:val="0"/>
                <w:iCs w:val="0"/>
                <w:caps w:val="0"/>
                <w:color w:val="000000" w:themeColor="text1"/>
                <w:spacing w:val="0"/>
                <w:sz w:val="32"/>
                <w:szCs w:val="32"/>
                <w:shd w:val="clear" w:fill="FFFFFF"/>
                <w:lang w:val="en-US" w:eastAsia="zh-CN"/>
                <w14:textFill>
                  <w14:solidFill>
                    <w14:schemeClr w14:val="tx1"/>
                  </w14:solidFill>
                </w14:textFill>
              </w:rPr>
              <w:t>铁路工程：</w:t>
            </w:r>
            <w:r>
              <w:rPr>
                <w:rFonts w:hint="eastAsia" w:ascii="楷体" w:hAnsi="楷体" w:eastAsia="楷体" w:cs="楷体"/>
                <w:i w:val="0"/>
                <w:iCs w:val="0"/>
                <w:caps w:val="0"/>
                <w:color w:val="000000" w:themeColor="text1"/>
                <w:spacing w:val="0"/>
                <w:sz w:val="32"/>
                <w:szCs w:val="32"/>
                <w:shd w:val="clear" w:fill="FFFFFF"/>
                <w:lang w:val="en-US" w:eastAsia="zh-CN"/>
                <w14:textFill>
                  <w14:solidFill>
                    <w14:schemeClr w14:val="tx1"/>
                  </w14:solidFill>
                </w14:textFill>
              </w:rPr>
              <w:t>黄石新港疏港铁路、湖北优科铁路专用线、捷利物流铁路专用线、沿江铁路项目、多式联运枢纽扩建。</w:t>
            </w:r>
          </w:p>
          <w:p w14:paraId="008A1624">
            <w:pPr>
              <w:keepNext w:val="0"/>
              <w:keepLines w:val="0"/>
              <w:pageBreakBefore w:val="0"/>
              <w:widowControl/>
              <w:numPr>
                <w:ilvl w:val="0"/>
                <w:numId w:val="0"/>
              </w:numPr>
              <w:suppressLineNumbers w:val="0"/>
              <w:pBdr>
                <w:left w:val="none" w:color="auto" w:sz="0" w:space="0"/>
              </w:pBdr>
              <w:tabs>
                <w:tab w:val="right" w:leader="dot" w:pos="6300"/>
              </w:tabs>
              <w:kinsoku/>
              <w:wordWrap/>
              <w:overflowPunct/>
              <w:topLinePunct w:val="0"/>
              <w:autoSpaceDE/>
              <w:autoSpaceDN/>
              <w:bidi w:val="0"/>
              <w:adjustRightInd/>
              <w:snapToGrid/>
              <w:spacing w:before="0" w:beforeAutospacing="0" w:after="0" w:afterAutospacing="0" w:line="540" w:lineRule="exact"/>
              <w:ind w:firstLine="643" w:firstLineChars="200"/>
              <w:textAlignment w:val="auto"/>
              <w:rPr>
                <w:rFonts w:hint="default" w:ascii="楷体" w:hAnsi="楷体" w:eastAsia="楷体" w:cs="楷体"/>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楷体" w:hAnsi="楷体" w:eastAsia="楷体" w:cs="楷体"/>
                <w:b/>
                <w:bCs/>
                <w:i w:val="0"/>
                <w:iCs w:val="0"/>
                <w:caps w:val="0"/>
                <w:color w:val="000000" w:themeColor="text1"/>
                <w:spacing w:val="0"/>
                <w:sz w:val="32"/>
                <w:szCs w:val="32"/>
                <w:shd w:val="clear" w:fill="FFFFFF"/>
                <w:lang w:val="en-US" w:eastAsia="zh-CN"/>
                <w14:textFill>
                  <w14:solidFill>
                    <w14:schemeClr w14:val="tx1"/>
                  </w14:solidFill>
                </w14:textFill>
              </w:rPr>
              <w:t>公路工程：</w:t>
            </w:r>
            <w:r>
              <w:rPr>
                <w:rFonts w:hint="eastAsia" w:ascii="楷体" w:hAnsi="楷体" w:eastAsia="楷体" w:cs="楷体"/>
                <w:i w:val="0"/>
                <w:iCs w:val="0"/>
                <w:caps w:val="0"/>
                <w:color w:val="000000" w:themeColor="text1"/>
                <w:spacing w:val="0"/>
                <w:sz w:val="32"/>
                <w:szCs w:val="32"/>
                <w:shd w:val="clear" w:fill="FFFFFF"/>
                <w:lang w:val="en-US" w:eastAsia="zh-CN"/>
                <w14:textFill>
                  <w14:solidFill>
                    <w14:schemeClr w14:val="tx1"/>
                  </w14:solidFill>
                </w14:textFill>
              </w:rPr>
              <w:t>黄石沿江高速新港段项目、黄石新港多式联运疏港通道、海口湖疏港公路。</w:t>
            </w:r>
          </w:p>
          <w:p w14:paraId="206AF6D5">
            <w:pPr>
              <w:keepNext w:val="0"/>
              <w:keepLines w:val="0"/>
              <w:pageBreakBefore w:val="0"/>
              <w:widowControl/>
              <w:numPr>
                <w:ilvl w:val="0"/>
                <w:numId w:val="0"/>
              </w:numPr>
              <w:suppressLineNumbers w:val="0"/>
              <w:pBdr>
                <w:left w:val="none" w:color="auto" w:sz="0" w:space="0"/>
              </w:pBdr>
              <w:tabs>
                <w:tab w:val="right" w:leader="dot" w:pos="6300"/>
              </w:tabs>
              <w:kinsoku/>
              <w:wordWrap/>
              <w:overflowPunct/>
              <w:topLinePunct w:val="0"/>
              <w:autoSpaceDE/>
              <w:autoSpaceDN/>
              <w:bidi w:val="0"/>
              <w:adjustRightInd/>
              <w:snapToGrid/>
              <w:spacing w:before="0" w:beforeAutospacing="0" w:after="0" w:afterAutospacing="0" w:line="540" w:lineRule="exact"/>
              <w:ind w:firstLine="643" w:firstLineChars="200"/>
              <w:textAlignment w:val="auto"/>
              <w:rPr>
                <w:rFonts w:hint="eastAsia" w:ascii="楷体" w:hAnsi="楷体" w:eastAsia="楷体" w:cs="楷体"/>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楷体" w:hAnsi="楷体" w:eastAsia="楷体" w:cs="楷体"/>
                <w:b/>
                <w:bCs/>
                <w:i w:val="0"/>
                <w:iCs w:val="0"/>
                <w:caps w:val="0"/>
                <w:color w:val="000000" w:themeColor="text1"/>
                <w:spacing w:val="0"/>
                <w:sz w:val="32"/>
                <w:szCs w:val="32"/>
                <w:shd w:val="clear" w:fill="FFFFFF"/>
                <w:lang w:val="en-US" w:eastAsia="zh-CN"/>
                <w14:textFill>
                  <w14:solidFill>
                    <w14:schemeClr w14:val="tx1"/>
                  </w14:solidFill>
                </w14:textFill>
              </w:rPr>
              <w:t>航空联动工程：</w:t>
            </w:r>
            <w:r>
              <w:rPr>
                <w:rFonts w:hint="eastAsia" w:ascii="楷体" w:hAnsi="楷体" w:eastAsia="楷体" w:cs="楷体"/>
                <w:i w:val="0"/>
                <w:iCs w:val="0"/>
                <w:caps w:val="0"/>
                <w:color w:val="000000" w:themeColor="text1"/>
                <w:spacing w:val="0"/>
                <w:sz w:val="32"/>
                <w:szCs w:val="32"/>
                <w:shd w:val="clear" w:fill="FFFFFF"/>
                <w:lang w:val="en-US" w:eastAsia="zh-CN"/>
                <w14:textFill>
                  <w14:solidFill>
                    <w14:schemeClr w14:val="tx1"/>
                  </w14:solidFill>
                </w14:textFill>
              </w:rPr>
              <w:t>棋盘洲综保区前置安检项目</w:t>
            </w:r>
          </w:p>
          <w:p w14:paraId="10DAD37E">
            <w:pPr>
              <w:keepNext w:val="0"/>
              <w:keepLines w:val="0"/>
              <w:pageBreakBefore w:val="0"/>
              <w:widowControl/>
              <w:numPr>
                <w:ilvl w:val="0"/>
                <w:numId w:val="0"/>
              </w:numPr>
              <w:suppressLineNumbers w:val="0"/>
              <w:pBdr>
                <w:left w:val="none" w:color="auto" w:sz="0" w:space="0"/>
              </w:pBdr>
              <w:tabs>
                <w:tab w:val="right" w:leader="dot" w:pos="6300"/>
              </w:tabs>
              <w:kinsoku/>
              <w:wordWrap/>
              <w:overflowPunct/>
              <w:topLinePunct w:val="0"/>
              <w:autoSpaceDE/>
              <w:autoSpaceDN/>
              <w:bidi w:val="0"/>
              <w:adjustRightInd/>
              <w:snapToGrid/>
              <w:spacing w:before="0" w:beforeAutospacing="0" w:after="0" w:afterAutospacing="0" w:line="540" w:lineRule="exact"/>
              <w:ind w:firstLine="643" w:firstLineChars="200"/>
              <w:textAlignment w:val="auto"/>
              <w:rPr>
                <w:rFonts w:hint="eastAsia" w:ascii="楷体" w:hAnsi="楷体" w:eastAsia="楷体" w:cs="楷体"/>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楷体" w:hAnsi="楷体" w:eastAsia="楷体" w:cs="楷体"/>
                <w:b/>
                <w:bCs/>
                <w:i w:val="0"/>
                <w:iCs w:val="0"/>
                <w:caps w:val="0"/>
                <w:color w:val="000000" w:themeColor="text1"/>
                <w:spacing w:val="0"/>
                <w:sz w:val="32"/>
                <w:szCs w:val="32"/>
                <w:shd w:val="clear" w:fill="FFFFFF"/>
                <w:lang w:val="en-US" w:eastAsia="zh-CN"/>
                <w14:textFill>
                  <w14:solidFill>
                    <w14:schemeClr w14:val="tx1"/>
                  </w14:solidFill>
                </w14:textFill>
              </w:rPr>
              <w:t>管廊运输工程：</w:t>
            </w:r>
            <w:r>
              <w:rPr>
                <w:rFonts w:hint="eastAsia" w:ascii="楷体" w:hAnsi="楷体" w:eastAsia="楷体" w:cs="楷体"/>
                <w:i w:val="0"/>
                <w:iCs w:val="0"/>
                <w:caps w:val="0"/>
                <w:color w:val="000000" w:themeColor="text1"/>
                <w:spacing w:val="0"/>
                <w:sz w:val="32"/>
                <w:szCs w:val="32"/>
                <w:shd w:val="clear" w:fill="FFFFFF"/>
                <w:lang w:val="en-US" w:eastAsia="zh-CN"/>
                <w14:textFill>
                  <w14:solidFill>
                    <w14:schemeClr w14:val="tx1"/>
                  </w14:solidFill>
                </w14:textFill>
              </w:rPr>
              <w:t>空中廊道工程Ⅳ号线（粮食专用线）</w:t>
            </w:r>
          </w:p>
        </w:tc>
      </w:tr>
    </w:tbl>
    <w:p w14:paraId="5E826438">
      <w:pPr>
        <w:keepNext w:val="0"/>
        <w:keepLines w:val="0"/>
        <w:pageBreakBefore w:val="0"/>
        <w:widowControl w:val="0"/>
        <w:numPr>
          <w:ilvl w:val="0"/>
          <w:numId w:val="0"/>
        </w:numPr>
        <w:tabs>
          <w:tab w:val="right" w:leader="dot" w:pos="6300"/>
        </w:tabs>
        <w:kinsoku/>
        <w:wordWrap/>
        <w:overflowPunct/>
        <w:topLinePunct w:val="0"/>
        <w:autoSpaceDE/>
        <w:autoSpaceDN/>
        <w:bidi w:val="0"/>
        <w:adjustRightInd/>
        <w:snapToGrid/>
        <w:spacing w:line="540" w:lineRule="exact"/>
        <w:ind w:left="0" w:leftChars="0" w:firstLine="0" w:firstLineChars="0"/>
        <w:jc w:val="center"/>
        <w:textAlignment w:val="auto"/>
        <w:outlineLvl w:val="0"/>
        <w:rPr>
          <w:rFonts w:hint="eastAsia" w:ascii="宋体" w:hAnsi="宋体" w:eastAsia="宋体" w:cs="宋体"/>
          <w:b/>
          <w:bCs/>
          <w:color w:val="000000" w:themeColor="text1"/>
          <w:kern w:val="0"/>
          <w:sz w:val="36"/>
          <w:szCs w:val="36"/>
          <w:lang w:val="en-US" w:eastAsia="zh-CN" w:bidi="ar"/>
          <w14:textFill>
            <w14:solidFill>
              <w14:schemeClr w14:val="tx1"/>
            </w14:solidFill>
          </w14:textFill>
        </w:rPr>
      </w:pPr>
      <w:bookmarkStart w:id="120" w:name="_Toc4329"/>
      <w:bookmarkStart w:id="121" w:name="_Toc780"/>
    </w:p>
    <w:p w14:paraId="596BE750">
      <w:pPr>
        <w:keepNext w:val="0"/>
        <w:keepLines w:val="0"/>
        <w:pageBreakBefore w:val="0"/>
        <w:widowControl w:val="0"/>
        <w:numPr>
          <w:ilvl w:val="0"/>
          <w:numId w:val="0"/>
        </w:numPr>
        <w:tabs>
          <w:tab w:val="right" w:leader="dot" w:pos="6300"/>
        </w:tabs>
        <w:kinsoku/>
        <w:wordWrap/>
        <w:overflowPunct/>
        <w:topLinePunct w:val="0"/>
        <w:autoSpaceDE/>
        <w:autoSpaceDN/>
        <w:bidi w:val="0"/>
        <w:adjustRightInd/>
        <w:snapToGrid/>
        <w:spacing w:line="540" w:lineRule="exact"/>
        <w:ind w:left="0" w:leftChars="0" w:firstLine="0" w:firstLineChars="0"/>
        <w:jc w:val="center"/>
        <w:textAlignment w:val="auto"/>
        <w:outlineLvl w:val="0"/>
        <w:rPr>
          <w:rFonts w:hint="eastAsia" w:ascii="宋体" w:hAnsi="宋体" w:eastAsia="宋体" w:cs="宋体"/>
          <w:b/>
          <w:bCs/>
          <w:color w:val="000000" w:themeColor="text1"/>
          <w:kern w:val="0"/>
          <w:sz w:val="36"/>
          <w:szCs w:val="36"/>
          <w:lang w:val="en-US" w:eastAsia="zh-CN" w:bidi="ar"/>
          <w14:textFill>
            <w14:solidFill>
              <w14:schemeClr w14:val="tx1"/>
            </w14:solidFill>
          </w14:textFill>
        </w:rPr>
      </w:pPr>
      <w:r>
        <w:rPr>
          <w:rFonts w:hint="eastAsia" w:ascii="宋体" w:hAnsi="宋体" w:eastAsia="宋体" w:cs="宋体"/>
          <w:b/>
          <w:bCs/>
          <w:color w:val="000000" w:themeColor="text1"/>
          <w:kern w:val="0"/>
          <w:sz w:val="36"/>
          <w:szCs w:val="36"/>
          <w:lang w:val="en-US" w:eastAsia="zh-CN" w:bidi="ar"/>
          <w14:textFill>
            <w14:solidFill>
              <w14:schemeClr w14:val="tx1"/>
            </w14:solidFill>
          </w14:textFill>
        </w:rPr>
        <w:t>第三节 完善枢纽服务平台</w:t>
      </w:r>
      <w:bookmarkEnd w:id="120"/>
      <w:bookmarkEnd w:id="121"/>
    </w:p>
    <w:p w14:paraId="7D6BBA0B">
      <w:pPr>
        <w:keepNext w:val="0"/>
        <w:keepLines w:val="0"/>
        <w:pageBreakBefore w:val="0"/>
        <w:widowControl w:val="0"/>
        <w:numPr>
          <w:ilvl w:val="0"/>
          <w:numId w:val="0"/>
        </w:numPr>
        <w:tabs>
          <w:tab w:val="right" w:leader="dot" w:pos="6300"/>
        </w:tabs>
        <w:kinsoku/>
        <w:wordWrap/>
        <w:overflowPunct/>
        <w:topLinePunct w:val="0"/>
        <w:autoSpaceDE/>
        <w:autoSpaceDN/>
        <w:bidi w:val="0"/>
        <w:adjustRightInd/>
        <w:snapToGrid/>
        <w:spacing w:line="400" w:lineRule="exact"/>
        <w:ind w:firstLine="723" w:firstLineChars="200"/>
        <w:jc w:val="center"/>
        <w:textAlignment w:val="auto"/>
        <w:rPr>
          <w:rFonts w:hint="default" w:ascii="宋体" w:hAnsi="宋体" w:eastAsia="宋体" w:cs="宋体"/>
          <w:b/>
          <w:bCs/>
          <w:color w:val="000000" w:themeColor="text1"/>
          <w:kern w:val="0"/>
          <w:sz w:val="36"/>
          <w:szCs w:val="36"/>
          <w:lang w:val="en-US" w:eastAsia="zh-CN" w:bidi="ar"/>
          <w14:textFill>
            <w14:solidFill>
              <w14:schemeClr w14:val="tx1"/>
            </w14:solidFill>
          </w14:textFill>
        </w:rPr>
      </w:pPr>
    </w:p>
    <w:p w14:paraId="718CB2A9">
      <w:pPr>
        <w:keepNext w:val="0"/>
        <w:keepLines w:val="0"/>
        <w:pageBreakBefore w:val="0"/>
        <w:widowControl w:val="0"/>
        <w:tabs>
          <w:tab w:val="right" w:leader="dot" w:pos="6300"/>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122" w:name="_Toc13328"/>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围绕铁矿石、粮食、钢材、铜材等大宗货物流转需求，构建“仓储物流+货运代理+期货交割+贸易服务”一体化物流服务体系，全力打造长江中游功能完备、效率领先的临港物流枢纽平台。</w:t>
      </w:r>
    </w:p>
    <w:p w14:paraId="6E6C6196">
      <w:pPr>
        <w:keepNext w:val="0"/>
        <w:keepLines w:val="0"/>
        <w:pageBreakBefore w:val="0"/>
        <w:widowControl w:val="0"/>
        <w:tabs>
          <w:tab w:val="right" w:leader="dot" w:pos="6300"/>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一、强化物流仓储设施。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聚焦主导产业货物流向，推进专业化仓库建设，“十五五”期间新增仓储建设面积20万平方米，形成与产业规模匹配的仓储矩阵。升级现有仓储设施能级，推广智能货架、自动分拣、无人搬运等设备应用，搭建覆盖全环节的可视化管理系统。强化仓储设施与交通枢纽的衔接配套，推进仓储园区与港口作业区、疏港铁路、货运管廊的无缝联通，构建“港仓联动、铁仓协同”的高效转运格局。</w:t>
      </w:r>
    </w:p>
    <w:p w14:paraId="111BD6AD">
      <w:pPr>
        <w:keepNext w:val="0"/>
        <w:keepLines w:val="0"/>
        <w:pageBreakBefore w:val="0"/>
        <w:widowControl w:val="0"/>
        <w:tabs>
          <w:tab w:val="right" w:leader="dot" w:pos="6300"/>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二、培育货运代理企业。</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整合本土货代资源，打造1—2家区域性龙头货代企业，推动中小货代组建行业联盟，实现订舱、报关、运输等资源共享。引进国内外知名货代企业入驻，带来先进的运营模式与全球物流网络资源，构建“本土龙头引领、中小联盟协同、外来企业赋能”的多元主体格局。搭建货代企业与货主单位的对接平台，建立常态化沟通机制，精准匹配物流需求与服务供给，同时推广“一站式”综合货代服务，涵盖报关报检、单证办理、物流保险等全流程业务，降低企业物流综合成本。</w:t>
      </w:r>
    </w:p>
    <w:p w14:paraId="1B5A647B">
      <w:pPr>
        <w:keepNext w:val="0"/>
        <w:keepLines w:val="0"/>
        <w:pageBreakBefore w:val="0"/>
        <w:widowControl w:val="0"/>
        <w:tabs>
          <w:tab w:val="right" w:leader="dot" w:pos="6300"/>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三、推动大宗储运业态升级。</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以构建长江中游大宗商品资源配置枢纽为重点，依托棋盘洲综保区政策红利与港区枢纽优势，整合资源推动大宗储运向“基地化、集约化、高附加值”跃升。</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建好用好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东楚通”“黄石新港多式联运”“黄石新港智慧调度中心”等平台，锚定铁矿石、粮食等重点货种，规划建设集约化储运区，配套智能专业设施，打造服务主导产业及周边的现代化储运载体。深化期货交易所合作，推动基地仓储设施申报交割库资质，拓展保税交割及仓单质押等增值服务，强化贸易吸附力。搭建大宗商品贸易联动平台，构建“线上协同+线下服务”体系，实现物流贸易高效衔接。联动港口与产业园区，建立“接卸—仓储—加工—分销”全链条模式，让储运基地成为连接港口与产业的关键枢纽。</w:t>
      </w:r>
    </w:p>
    <w:p w14:paraId="29FE82D6">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left="0" w:leftChars="0" w:firstLine="0" w:firstLineChars="0"/>
        <w:jc w:val="center"/>
        <w:textAlignment w:val="auto"/>
        <w:rPr>
          <w:rFonts w:hint="eastAsia" w:ascii="黑体" w:hAnsi="黑体" w:eastAsia="黑体" w:cs="黑体"/>
          <w:color w:val="000000" w:themeColor="text1"/>
          <w:sz w:val="32"/>
          <w:szCs w:val="32"/>
          <w:lang w:val="en-US" w:eastAsia="zh-CN"/>
          <w14:textFill>
            <w14:solidFill>
              <w14:schemeClr w14:val="tx1"/>
            </w14:solidFill>
          </w14:textFill>
        </w:rPr>
      </w:pPr>
    </w:p>
    <w:p w14:paraId="3B50F442">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left="0" w:leftChars="0" w:firstLine="0" w:firstLineChars="0"/>
        <w:jc w:val="center"/>
        <w:textAlignment w:val="auto"/>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专栏5：新港园区枢纽服务平台重点工程</w:t>
      </w:r>
    </w:p>
    <w:tbl>
      <w:tblPr>
        <w:tblStyle w:val="11"/>
        <w:tblW w:w="0" w:type="auto"/>
        <w:tblInd w:w="1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6"/>
      </w:tblGrid>
      <w:tr w14:paraId="1B203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6" w:type="dxa"/>
          </w:tcPr>
          <w:p w14:paraId="160E2875">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楷体" w:hAnsi="楷体" w:eastAsia="楷体" w:cs="楷体"/>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楷体" w:hAnsi="楷体" w:eastAsia="楷体" w:cs="楷体"/>
                <w:b w:val="0"/>
                <w:bCs w:val="0"/>
                <w:color w:val="000000" w:themeColor="text1"/>
                <w:sz w:val="32"/>
                <w:szCs w:val="32"/>
                <w:lang w:val="en-US" w:eastAsia="zh-CN"/>
                <w14:textFill>
                  <w14:solidFill>
                    <w14:schemeClr w14:val="tx1"/>
                  </w14:solidFill>
                </w14:textFill>
              </w:rPr>
              <w:t>黄石新港现代物流枢纽项目、西马国际（黄石）智慧物流园、黄石新港智慧物流中转仓储项目、长江中游大宗商品资源配置枢纽项目、湖北海虹物流有限公司物流仓储基地项目、混矿配送项目、铜精矿混矿项目</w:t>
            </w:r>
          </w:p>
        </w:tc>
      </w:tr>
    </w:tbl>
    <w:p w14:paraId="2E51CA12">
      <w:pPr>
        <w:rPr>
          <w:rFonts w:hint="eastAsia" w:ascii="微软雅黑" w:hAnsi="微软雅黑" w:eastAsia="微软雅黑" w:cs="微软雅黑"/>
          <w:b w:val="0"/>
          <w:bCs/>
          <w:color w:val="000000" w:themeColor="text1"/>
          <w:lang w:val="en-US" w:eastAsia="zh-CN"/>
          <w14:textFill>
            <w14:solidFill>
              <w14:schemeClr w14:val="tx1"/>
            </w14:solidFill>
          </w14:textFill>
        </w:rPr>
      </w:pPr>
      <w:bookmarkStart w:id="123" w:name="_Toc28432"/>
      <w:bookmarkStart w:id="124" w:name="_Toc22940"/>
      <w:bookmarkStart w:id="125" w:name="_Toc13728"/>
    </w:p>
    <w:p w14:paraId="370FADAD">
      <w:pPr>
        <w:rPr>
          <w:rFonts w:hint="eastAsia" w:ascii="微软雅黑" w:hAnsi="微软雅黑" w:eastAsia="微软雅黑" w:cs="微软雅黑"/>
          <w:b w:val="0"/>
          <w:bCs/>
          <w:color w:val="000000" w:themeColor="text1"/>
          <w:lang w:val="en-US" w:eastAsia="zh-CN"/>
          <w14:textFill>
            <w14:solidFill>
              <w14:schemeClr w14:val="tx1"/>
            </w14:solidFill>
          </w14:textFill>
        </w:rPr>
      </w:pPr>
    </w:p>
    <w:p w14:paraId="760F15E5">
      <w:pPr>
        <w:rPr>
          <w:rFonts w:hint="eastAsia" w:ascii="微软雅黑" w:hAnsi="微软雅黑" w:eastAsia="微软雅黑" w:cs="微软雅黑"/>
          <w:b w:val="0"/>
          <w:bCs/>
          <w:color w:val="000000" w:themeColor="text1"/>
          <w:lang w:val="en-US" w:eastAsia="zh-CN"/>
          <w14:textFill>
            <w14:solidFill>
              <w14:schemeClr w14:val="tx1"/>
            </w14:solidFill>
          </w14:textFill>
        </w:rPr>
      </w:pPr>
    </w:p>
    <w:p w14:paraId="770CC3E5">
      <w:pPr>
        <w:rPr>
          <w:rFonts w:hint="eastAsia" w:ascii="微软雅黑" w:hAnsi="微软雅黑" w:eastAsia="微软雅黑" w:cs="微软雅黑"/>
          <w:b w:val="0"/>
          <w:bCs/>
          <w:color w:val="000000" w:themeColor="text1"/>
          <w:lang w:val="en-US" w:eastAsia="zh-CN"/>
          <w14:textFill>
            <w14:solidFill>
              <w14:schemeClr w14:val="tx1"/>
            </w14:solidFill>
          </w14:textFill>
        </w:rPr>
      </w:pPr>
    </w:p>
    <w:p w14:paraId="49507AA6">
      <w:pPr>
        <w:rPr>
          <w:rFonts w:hint="eastAsia" w:ascii="微软雅黑" w:hAnsi="微软雅黑" w:eastAsia="微软雅黑" w:cs="微软雅黑"/>
          <w:b w:val="0"/>
          <w:bCs/>
          <w:color w:val="000000" w:themeColor="text1"/>
          <w:lang w:val="en-US" w:eastAsia="zh-CN"/>
          <w14:textFill>
            <w14:solidFill>
              <w14:schemeClr w14:val="tx1"/>
            </w14:solidFill>
          </w14:textFill>
        </w:rPr>
      </w:pPr>
    </w:p>
    <w:p w14:paraId="1AC7EBE7">
      <w:pPr>
        <w:rPr>
          <w:rFonts w:hint="eastAsia" w:ascii="微软雅黑" w:hAnsi="微软雅黑" w:eastAsia="微软雅黑" w:cs="微软雅黑"/>
          <w:b w:val="0"/>
          <w:bCs/>
          <w:color w:val="000000" w:themeColor="text1"/>
          <w:lang w:val="en-US" w:eastAsia="zh-CN"/>
          <w14:textFill>
            <w14:solidFill>
              <w14:schemeClr w14:val="tx1"/>
            </w14:solidFill>
          </w14:textFill>
        </w:rPr>
      </w:pPr>
    </w:p>
    <w:p w14:paraId="12EC6087">
      <w:pPr>
        <w:rPr>
          <w:rFonts w:hint="eastAsia" w:ascii="微软雅黑" w:hAnsi="微软雅黑" w:eastAsia="微软雅黑" w:cs="微软雅黑"/>
          <w:b w:val="0"/>
          <w:bCs/>
          <w:color w:val="000000" w:themeColor="text1"/>
          <w:lang w:val="en-US" w:eastAsia="zh-CN"/>
          <w14:textFill>
            <w14:solidFill>
              <w14:schemeClr w14:val="tx1"/>
            </w14:solidFill>
          </w14:textFill>
        </w:rPr>
      </w:pPr>
    </w:p>
    <w:p w14:paraId="048A2B49">
      <w:pPr>
        <w:rPr>
          <w:rFonts w:hint="eastAsia" w:ascii="微软雅黑" w:hAnsi="微软雅黑" w:eastAsia="微软雅黑" w:cs="微软雅黑"/>
          <w:b w:val="0"/>
          <w:bCs/>
          <w:color w:val="000000" w:themeColor="text1"/>
          <w:lang w:val="en-US" w:eastAsia="zh-CN"/>
          <w14:textFill>
            <w14:solidFill>
              <w14:schemeClr w14:val="tx1"/>
            </w14:solidFill>
          </w14:textFill>
        </w:rPr>
      </w:pPr>
    </w:p>
    <w:p w14:paraId="5C78686E">
      <w:pPr>
        <w:pStyle w:val="2"/>
        <w:keepNext/>
        <w:keepLines/>
        <w:pageBreakBefore w:val="0"/>
        <w:widowControl w:val="0"/>
        <w:numPr>
          <w:ilvl w:val="0"/>
          <w:numId w:val="0"/>
        </w:numPr>
        <w:tabs>
          <w:tab w:val="right" w:leader="dot" w:pos="6300"/>
        </w:tabs>
        <w:kinsoku/>
        <w:wordWrap/>
        <w:overflowPunct/>
        <w:topLinePunct w:val="0"/>
        <w:autoSpaceDE/>
        <w:autoSpaceDN/>
        <w:bidi w:val="0"/>
        <w:adjustRightInd/>
        <w:snapToGrid/>
        <w:spacing w:before="0" w:after="0" w:line="600" w:lineRule="exact"/>
        <w:jc w:val="center"/>
        <w:textAlignment w:val="auto"/>
        <w:rPr>
          <w:rFonts w:hint="eastAsia" w:ascii="微软雅黑" w:hAnsi="微软雅黑" w:eastAsia="微软雅黑" w:cs="微软雅黑"/>
          <w:b w:val="0"/>
          <w:bCs/>
          <w:color w:val="000000" w:themeColor="text1"/>
          <w:lang w:val="en-US" w:eastAsia="zh-CN"/>
          <w14:textFill>
            <w14:solidFill>
              <w14:schemeClr w14:val="tx1"/>
            </w14:solidFill>
          </w14:textFill>
        </w:rPr>
      </w:pPr>
      <w:r>
        <w:rPr>
          <w:rFonts w:hint="eastAsia" w:ascii="微软雅黑" w:hAnsi="微软雅黑" w:eastAsia="微软雅黑" w:cs="微软雅黑"/>
          <w:b w:val="0"/>
          <w:bCs/>
          <w:color w:val="000000" w:themeColor="text1"/>
          <w:lang w:val="en-US" w:eastAsia="zh-CN"/>
          <w14:textFill>
            <w14:solidFill>
              <w14:schemeClr w14:val="tx1"/>
            </w14:solidFill>
          </w14:textFill>
        </w:rPr>
        <w:t>第四章 加快建成贸易港</w:t>
      </w:r>
      <w:bookmarkEnd w:id="123"/>
      <w:bookmarkEnd w:id="124"/>
      <w:bookmarkEnd w:id="125"/>
    </w:p>
    <w:bookmarkEnd w:id="122"/>
    <w:p w14:paraId="5EA64733">
      <w:pPr>
        <w:pStyle w:val="2"/>
        <w:keepNext/>
        <w:keepLines/>
        <w:pageBreakBefore w:val="0"/>
        <w:widowControl w:val="0"/>
        <w:numPr>
          <w:ilvl w:val="0"/>
          <w:numId w:val="0"/>
        </w:numPr>
        <w:tabs>
          <w:tab w:val="right" w:leader="dot" w:pos="6300"/>
        </w:tabs>
        <w:kinsoku/>
        <w:wordWrap/>
        <w:overflowPunct/>
        <w:topLinePunct w:val="0"/>
        <w:autoSpaceDE/>
        <w:autoSpaceDN/>
        <w:bidi w:val="0"/>
        <w:adjustRightInd/>
        <w:snapToGrid/>
        <w:spacing w:before="0" w:after="0" w:line="600" w:lineRule="exact"/>
        <w:jc w:val="center"/>
        <w:textAlignment w:val="auto"/>
        <w:rPr>
          <w:rFonts w:hint="eastAsia" w:ascii="微软雅黑" w:hAnsi="微软雅黑" w:eastAsia="微软雅黑" w:cs="微软雅黑"/>
          <w:b w:val="0"/>
          <w:bCs/>
          <w:color w:val="000000" w:themeColor="text1"/>
          <w:lang w:val="en-US" w:eastAsia="zh-CN"/>
          <w14:textFill>
            <w14:solidFill>
              <w14:schemeClr w14:val="tx1"/>
            </w14:solidFill>
          </w14:textFill>
        </w:rPr>
      </w:pPr>
      <w:bookmarkStart w:id="126" w:name="_Toc19544"/>
      <w:r>
        <w:rPr>
          <w:rFonts w:hint="eastAsia" w:ascii="微软雅黑" w:hAnsi="微软雅黑" w:eastAsia="微软雅黑" w:cs="微软雅黑"/>
          <w:b w:val="0"/>
          <w:bCs/>
          <w:color w:val="000000" w:themeColor="text1"/>
          <w:lang w:val="en-US" w:eastAsia="zh-CN"/>
          <w14:textFill>
            <w14:solidFill>
              <w14:schemeClr w14:val="tx1"/>
            </w14:solidFill>
          </w14:textFill>
        </w:rPr>
        <w:t>打造长江中游内陆开放新高地</w:t>
      </w:r>
      <w:bookmarkEnd w:id="126"/>
    </w:p>
    <w:p w14:paraId="5E021AD2">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35751B79">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依托棋盘洲综保区，联动自贸区创新联动发展区、跨境电商综试区、一类水运口岸等平台，强化平台赋能、拓展贸易格局、深化区域协同，构建“平台聚合、贸易多元、区域联动、业态丰富”的高水平对外开放体系。到2030年，园区进出口总额达448亿元，综保区一线进出口额突破166亿元、跨境电商进出口总值达57亿元，打造长江中游大宗商品集散中心、武汉都市圈内陆开放新高地、武鄂黄黄国际综合交通枢纽重要开放节点。</w:t>
      </w:r>
    </w:p>
    <w:p w14:paraId="10981C5A">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jc w:val="center"/>
        <w:textAlignment w:val="auto"/>
        <w:outlineLvl w:val="0"/>
        <w:rPr>
          <w:rFonts w:hint="eastAsia"/>
          <w:color w:val="000000" w:themeColor="text1"/>
          <w:lang w:val="en-US" w:eastAsia="zh-CN"/>
          <w14:textFill>
            <w14:solidFill>
              <w14:schemeClr w14:val="tx1"/>
            </w14:solidFill>
          </w14:textFill>
        </w:rPr>
      </w:pPr>
      <w:bookmarkStart w:id="127" w:name="_Toc3256"/>
      <w:bookmarkStart w:id="128" w:name="_Toc20290"/>
    </w:p>
    <w:p w14:paraId="5D065066">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jc w:val="center"/>
        <w:textAlignment w:val="auto"/>
        <w:outlineLvl w:val="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 xml:space="preserve">第一节 </w:t>
      </w:r>
      <w:r>
        <w:rPr>
          <w:rFonts w:hint="eastAsia"/>
          <w:color w:val="000000" w:themeColor="text1"/>
          <w14:textFill>
            <w14:solidFill>
              <w14:schemeClr w14:val="tx1"/>
            </w14:solidFill>
          </w14:textFill>
        </w:rPr>
        <w:t>强化开放平台赋能</w:t>
      </w:r>
      <w:bookmarkEnd w:id="127"/>
      <w:bookmarkEnd w:id="128"/>
    </w:p>
    <w:p w14:paraId="14F73C0B">
      <w:pPr>
        <w:keepNext w:val="0"/>
        <w:keepLines w:val="0"/>
        <w:pageBreakBefore w:val="0"/>
        <w:widowControl w:val="0"/>
        <w:tabs>
          <w:tab w:val="right" w:leader="dot" w:pos="6300"/>
        </w:tabs>
        <w:kinsoku/>
        <w:wordWrap/>
        <w:overflowPunct/>
        <w:topLinePunct w:val="0"/>
        <w:autoSpaceDE/>
        <w:autoSpaceDN/>
        <w:bidi w:val="0"/>
        <w:adjustRightInd/>
        <w:snapToGrid/>
        <w:spacing w:before="0" w:beforeAutospacing="0" w:after="0" w:afterAutospacing="0" w:line="400" w:lineRule="exact"/>
        <w:ind w:firstLine="640" w:firstLineChars="200"/>
        <w:jc w:val="left"/>
        <w:textAlignment w:val="auto"/>
        <w:outlineLvl w:val="9"/>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p>
    <w:p w14:paraId="3B3A4B34">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以提升综保区综合发展能级为目标，推动综保区、联动平台、口岸功能协同升级，发展“保税+产业”深度融合业态。到2030年，综保区一线进出口额突破166亿元，口岸年处理能力达3000万吨，通关效率提升40%以上。</w:t>
      </w:r>
    </w:p>
    <w:p w14:paraId="6E0F25AE">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一、提升综保区能级。</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拓展保税加工、保税维修、保税展示、检测研发、融资租赁、大宗商品保税交割等业态，重点推动高端铜材保税加工、进口粮食保税精深加工、PCB及电子元器件保税加工落地，形成“保税+产业”融合发展格局。推进综保区二期建设，满足不同业态发展空间需求。建立综保区与园区产业片区供应链联动机制，引导市域内进出口企业将关键生产环节、零部件配套、成品组装等产业链环节延伸至综保区。出台差异化扶持政策，重点对保税加工、保税维修等支撑型业态给予产业扶持，降低企业入驻成本；推行“管理办公室+城发集团+专业运营商”三方协同机制，提升运营管理效率。吸引上下游企业集聚，构建“原材料进口—保税加工—成品出口”的闭环产业链，培育新能源新材料保税加工、汽车零部件保税加工及分拨、智能家电保税加工等特色产业集群。到2030年实现综保区一线进出口额突破166亿元，保税进出口值达到70亿元。</w:t>
      </w:r>
    </w:p>
    <w:p w14:paraId="3DBA3337">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二、深化平台协同联动。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深化棋盘洲综保区与自贸区创新联动发展区、跨境电商综试区、一类水运口岸等平台的功能叠加与政策协同，系统复制推广71项自贸区先进经验。重点落地“区内直转+抵港直装”“跨境电商9610出口监管车直运”“无人机巡检”等创新监管举措，争取带电跨境电商货物前置安检等政策试点落地。打通综保区与跨境电商综试区数据壁垒，实现货物监管、物流调度、信息查询“一站式”服务；联动自贸区创新联动发展区，针对危化品、手机保税维修、电子烟等项目，制定“场景化解决方案”，将单一保税功能升级为稀缺服务能力。组建“黄石货代联盟”，整合本地外贸企业物流需求，落实“黄货黄运”，推动园区对外开放从“单点突破”向“全域协同”跨越。</w:t>
      </w:r>
    </w:p>
    <w:p w14:paraId="2A08D452">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color w:val="000000" w:themeColor="text1"/>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三、升级口岸功能支撑。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在进境粮食指定监管场地常态化运营基础上，突破进境肉类、木材、危化品等港口资质，配套查验库房、检疫处理区、冷链设施，构建“多品类、全链条”口岸监管体系。建设智慧口岸，整合海关、海事、边检、港口数据，部署无人卡口、龙门吊远程控制系统，推广“提前申报、两步申报”“先放后检”等通关模式。完善口岸集疏运衔接设施，建设口岸专用物流通道，引入报关报检、跨境结算等专业服务，打造“口岸+服务”一体化平台。到2030年实现口岸通关效率提升40%以上，年处理进出口货物能力突破3000万吨。</w:t>
      </w:r>
    </w:p>
    <w:p w14:paraId="0784D7E7">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left="0" w:leftChars="0" w:firstLine="0" w:firstLineChars="0"/>
        <w:jc w:val="center"/>
        <w:textAlignment w:val="auto"/>
        <w:rPr>
          <w:rFonts w:hint="eastAsia" w:ascii="黑体" w:hAnsi="黑体" w:eastAsia="黑体" w:cs="黑体"/>
          <w:color w:val="000000" w:themeColor="text1"/>
          <w:sz w:val="32"/>
          <w:szCs w:val="32"/>
          <w:lang w:val="en-US" w:eastAsia="zh-CN"/>
          <w14:textFill>
            <w14:solidFill>
              <w14:schemeClr w14:val="tx1"/>
            </w14:solidFill>
          </w14:textFill>
        </w:rPr>
      </w:pPr>
      <w:bookmarkStart w:id="129" w:name="_Toc7790"/>
    </w:p>
    <w:p w14:paraId="30B4C6DF">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left="0" w:leftChars="0" w:firstLine="0" w:firstLineChars="0"/>
        <w:jc w:val="center"/>
        <w:textAlignment w:val="auto"/>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专栏6：新港园区综保区能级提升重点工程</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602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tcPr>
          <w:p w14:paraId="3C3A1417">
            <w:pPr>
              <w:keepNext w:val="0"/>
              <w:keepLines w:val="0"/>
              <w:pageBreakBefore w:val="0"/>
              <w:widowControl/>
              <w:numPr>
                <w:ilvl w:val="0"/>
                <w:numId w:val="0"/>
              </w:numPr>
              <w:suppressLineNumbers w:val="0"/>
              <w:pBdr>
                <w:left w:val="none" w:color="auto" w:sz="0" w:space="0"/>
              </w:pBdr>
              <w:tabs>
                <w:tab w:val="right" w:leader="dot" w:pos="6300"/>
              </w:tabs>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楷体" w:hAnsi="楷体" w:eastAsia="楷体" w:cs="楷体"/>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楷体" w:hAnsi="楷体" w:eastAsia="楷体" w:cs="楷体"/>
                <w:i w:val="0"/>
                <w:iCs w:val="0"/>
                <w:caps w:val="0"/>
                <w:color w:val="000000" w:themeColor="text1"/>
                <w:spacing w:val="0"/>
                <w:sz w:val="32"/>
                <w:szCs w:val="32"/>
                <w:shd w:val="clear" w:fill="FFFFFF"/>
                <w:lang w:val="en-US" w:eastAsia="zh-CN"/>
                <w14:textFill>
                  <w14:solidFill>
                    <w14:schemeClr w14:val="tx1"/>
                  </w14:solidFill>
                </w14:textFill>
              </w:rPr>
              <w:t>黄石棋盘洲综合保税区二期建设项目</w:t>
            </w:r>
            <w:r>
              <w:rPr>
                <w:rFonts w:hint="eastAsia" w:ascii="楷体" w:hAnsi="楷体" w:eastAsia="楷体" w:cs="楷体"/>
                <w:i w:val="0"/>
                <w:iCs w:val="0"/>
                <w:caps w:val="0"/>
                <w:color w:val="000000" w:themeColor="text1"/>
                <w:spacing w:val="0"/>
                <w:sz w:val="32"/>
                <w:szCs w:val="32"/>
                <w:shd w:val="clear" w:fill="FFFFFF"/>
                <w:lang w:val="en-US" w:eastAsia="zh-CN"/>
                <w14:textFill>
                  <w14:solidFill>
                    <w14:schemeClr w14:val="tx1"/>
                  </w14:solidFill>
                </w14:textFill>
              </w:rPr>
              <w:t>、</w:t>
            </w:r>
            <w:r>
              <w:rPr>
                <w:rFonts w:hint="default" w:ascii="楷体" w:hAnsi="楷体" w:eastAsia="楷体" w:cs="楷体"/>
                <w:i w:val="0"/>
                <w:iCs w:val="0"/>
                <w:caps w:val="0"/>
                <w:color w:val="000000" w:themeColor="text1"/>
                <w:spacing w:val="0"/>
                <w:sz w:val="32"/>
                <w:szCs w:val="32"/>
                <w:shd w:val="clear" w:fill="FFFFFF"/>
                <w:lang w:val="en-US" w:eastAsia="zh-CN"/>
                <w14:textFill>
                  <w14:solidFill>
                    <w14:schemeClr w14:val="tx1"/>
                  </w14:solidFill>
                </w14:textFill>
              </w:rPr>
              <w:t>国际智能分拨中心项目</w:t>
            </w:r>
            <w:r>
              <w:rPr>
                <w:rFonts w:hint="eastAsia" w:ascii="楷体" w:hAnsi="楷体" w:eastAsia="楷体" w:cs="楷体"/>
                <w:i w:val="0"/>
                <w:iCs w:val="0"/>
                <w:caps w:val="0"/>
                <w:color w:val="000000" w:themeColor="text1"/>
                <w:spacing w:val="0"/>
                <w:sz w:val="32"/>
                <w:szCs w:val="32"/>
                <w:shd w:val="clear" w:fill="FFFFFF"/>
                <w:lang w:val="en-US" w:eastAsia="zh-CN"/>
                <w14:textFill>
                  <w14:solidFill>
                    <w14:schemeClr w14:val="tx1"/>
                  </w14:solidFill>
                </w14:textFill>
              </w:rPr>
              <w:t>、华中集成电子元器件保税研发检测项目、综保区智能化系统项目、绿色低碳综保区示范项目</w:t>
            </w:r>
          </w:p>
        </w:tc>
      </w:tr>
    </w:tbl>
    <w:p w14:paraId="5031A78A">
      <w:pPr>
        <w:keepNext w:val="0"/>
        <w:keepLines w:val="0"/>
        <w:pageBreakBefore w:val="0"/>
        <w:widowControl w:val="0"/>
        <w:tabs>
          <w:tab w:val="right" w:leader="dot" w:pos="6300"/>
        </w:tabs>
        <w:kinsoku/>
        <w:wordWrap/>
        <w:overflowPunct/>
        <w:topLinePunct w:val="0"/>
        <w:autoSpaceDE/>
        <w:autoSpaceDN/>
        <w:bidi w:val="0"/>
        <w:adjustRightInd/>
        <w:snapToGrid/>
        <w:spacing w:before="0" w:beforeAutospacing="0" w:after="0" w:afterAutospacing="0" w:line="400" w:lineRule="exact"/>
        <w:ind w:firstLine="640" w:firstLineChars="200"/>
        <w:jc w:val="left"/>
        <w:textAlignment w:val="auto"/>
        <w:outlineLvl w:val="9"/>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p>
    <w:p w14:paraId="129E0869">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jc w:val="center"/>
        <w:textAlignment w:val="auto"/>
        <w:outlineLvl w:val="0"/>
        <w:rPr>
          <w:rFonts w:hint="eastAsia"/>
          <w:color w:val="000000" w:themeColor="text1"/>
          <w:lang w:val="en-US" w:eastAsia="zh-CN"/>
          <w14:textFill>
            <w14:solidFill>
              <w14:schemeClr w14:val="tx1"/>
            </w14:solidFill>
          </w14:textFill>
        </w:rPr>
      </w:pPr>
      <w:bookmarkStart w:id="130" w:name="_Toc8448"/>
      <w:bookmarkStart w:id="131" w:name="_Toc27210"/>
    </w:p>
    <w:p w14:paraId="62ED985A">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jc w:val="center"/>
        <w:textAlignment w:val="auto"/>
        <w:outlineLvl w:val="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 xml:space="preserve">第二节 </w:t>
      </w:r>
      <w:r>
        <w:rPr>
          <w:rFonts w:hint="eastAsia"/>
          <w:color w:val="000000" w:themeColor="text1"/>
          <w14:textFill>
            <w14:solidFill>
              <w14:schemeClr w14:val="tx1"/>
            </w14:solidFill>
          </w14:textFill>
        </w:rPr>
        <w:t>拓展跨境贸易格局</w:t>
      </w:r>
      <w:bookmarkEnd w:id="129"/>
      <w:bookmarkEnd w:id="130"/>
      <w:bookmarkEnd w:id="131"/>
    </w:p>
    <w:p w14:paraId="39AEB530">
      <w:pPr>
        <w:keepNext w:val="0"/>
        <w:keepLines w:val="0"/>
        <w:pageBreakBefore w:val="0"/>
        <w:widowControl w:val="0"/>
        <w:tabs>
          <w:tab w:val="right" w:leader="dot" w:pos="6300"/>
        </w:tabs>
        <w:kinsoku/>
        <w:wordWrap/>
        <w:overflowPunct/>
        <w:topLinePunct w:val="0"/>
        <w:autoSpaceDE/>
        <w:autoSpaceDN/>
        <w:bidi w:val="0"/>
        <w:adjustRightInd/>
        <w:snapToGrid/>
        <w:spacing w:before="0" w:beforeAutospacing="0" w:after="0" w:afterAutospacing="0" w:line="400" w:lineRule="exact"/>
        <w:ind w:firstLine="640" w:firstLineChars="200"/>
        <w:jc w:val="left"/>
        <w:textAlignment w:val="auto"/>
        <w:outlineLvl w:val="9"/>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p>
    <w:p w14:paraId="78F080B7">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宋体"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以跨境电商生态培育、国际物流网络加密与贸易业态创新为重点，发展“平台赋能+通道支撑+产业联动”的跨境贸易格局。到2030年，跨境电商进出口总值达57亿元，培育亿元级跨境电商企业集群，国际物流成本降低15%以上。</w:t>
      </w:r>
    </w:p>
    <w:p w14:paraId="4093A5E7">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一、壮大跨境电商规模。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建设跨境电商业态综合示范区，打造跨境电商公共服务平台、智能化仓储物流中心及大数据中心。建设“1210”保税备货仓，引进京东、菜鸟国际等头部电商企业，推广“保税仓+直播”模式，建设线上线下融合的跨境商品展示中心。聚焦金海白茶、特色农产品、小家电、数码产品等优势品类，建立跨境电商质量溯源体系，培育1—2个特色产业集群；深化与主流电商平台合作，吸引头部企业设立专项运营中心、冷链仓储分拨中心。支持湖北欧贝、湖北秀丰等企业扩大跨境电商9610出口业务规模，推动跨境电商出口从华南、华中地区集货向本地货源培育转型。到2030年，培育跨境电商初创企业50家以上，形成亿元级重点企业集群，跨境电商1210保税备货业务占比超20%，跨境电商进出口总值达57亿元。</w:t>
      </w:r>
    </w:p>
    <w:p w14:paraId="19C18842">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二、加密国际物流通道。</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巩固“江海直达+长江班列”运营效能，加密至上海、宁波、深圳等沿海港口班轮航线，稳定运营“黄石—韩国”近洋直航，常态化开行“黄汉欧”中欧班列。新增肉类、水果、冰鲜等指定监管场地。融入省级中欧班列武汉集结中心，提升“黄汉欧”中欧班列发运频次与运量规模，强化与欧洲、中亚市场的贸易联动。拓展西南联运市场，开辟川渝地区经新港至东部沿海的铁水联运新通道，整合铁公水物流资源，通过多式联运公司一体化统筹，缩短全程运输时间。深化与鄂州花湖机场战略合作，建设航空物流前置货站，开通花湖机场国际包机航线，实现“综保区—机场”货物一小时转运，构建“江海直达+中欧班列+铁水联运+空港联动”的多元化国际物流网络。</w:t>
      </w:r>
    </w:p>
    <w:p w14:paraId="586886EB">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三、创新贸易业态模式。</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发展大宗商品保税交割及现货交易业务，配套智能化仓储系统与矿产品检测中心，服务钢材、粮食、橡胶等大宗商品，搭建线上交易平台，实现“保税仓储+期货交割+现货交易”联动。培育保税维修业态，建成通讯电子产品设备、医疗设备、洗地机等保税维修中心，2030年实现保税维修业务年进出口额超2亿元。推动内外贸一体化，支持区内企业利用“综保区一般纳税人”政策发展“一头在外”项目，构建“保税+内贸”双支撑格局。探索数字服务贸易模式，引入粤港澳国际供应链数字化服务贸易平台，聚合分销、物流、通关、融资等贸易服务要素，赋能区域外贸产业数字化转型</w:t>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w:t>
      </w:r>
    </w:p>
    <w:p w14:paraId="5FB083BC">
      <w:pPr>
        <w:keepNext w:val="0"/>
        <w:keepLines w:val="0"/>
        <w:pageBreakBefore w:val="0"/>
        <w:widowControl w:val="0"/>
        <w:tabs>
          <w:tab w:val="right" w:leader="dot" w:pos="6300"/>
        </w:tabs>
        <w:kinsoku/>
        <w:wordWrap/>
        <w:overflowPunct/>
        <w:topLinePunct w:val="0"/>
        <w:autoSpaceDE/>
        <w:autoSpaceDN/>
        <w:bidi w:val="0"/>
        <w:adjustRightInd/>
        <w:snapToGrid/>
        <w:spacing w:before="0" w:beforeAutospacing="0" w:after="0" w:afterAutospacing="0" w:line="400" w:lineRule="exact"/>
        <w:ind w:firstLine="640" w:firstLineChars="200"/>
        <w:jc w:val="left"/>
        <w:textAlignment w:val="auto"/>
        <w:outlineLvl w:val="9"/>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bookmarkStart w:id="132" w:name="_Toc30150"/>
    </w:p>
    <w:p w14:paraId="7ACF4BE1">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jc w:val="center"/>
        <w:textAlignment w:val="auto"/>
        <w:outlineLvl w:val="0"/>
        <w:rPr>
          <w:rFonts w:hint="eastAsia"/>
          <w:color w:val="000000" w:themeColor="text1"/>
          <w14:textFill>
            <w14:solidFill>
              <w14:schemeClr w14:val="tx1"/>
            </w14:solidFill>
          </w14:textFill>
        </w:rPr>
      </w:pPr>
      <w:bookmarkStart w:id="133" w:name="_Toc16250"/>
      <w:bookmarkStart w:id="134" w:name="_Toc28133"/>
      <w:r>
        <w:rPr>
          <w:rFonts w:hint="eastAsia"/>
          <w:color w:val="000000" w:themeColor="text1"/>
          <w:lang w:val="en-US" w:eastAsia="zh-CN"/>
          <w14:textFill>
            <w14:solidFill>
              <w14:schemeClr w14:val="tx1"/>
            </w14:solidFill>
          </w14:textFill>
        </w:rPr>
        <w:t xml:space="preserve">第三节 </w:t>
      </w:r>
      <w:r>
        <w:rPr>
          <w:rFonts w:hint="eastAsia"/>
          <w:color w:val="000000" w:themeColor="text1"/>
          <w14:textFill>
            <w14:solidFill>
              <w14:schemeClr w14:val="tx1"/>
            </w14:solidFill>
          </w14:textFill>
        </w:rPr>
        <w:t>深化区域协同开放</w:t>
      </w:r>
      <w:bookmarkEnd w:id="132"/>
      <w:bookmarkEnd w:id="133"/>
      <w:bookmarkEnd w:id="134"/>
    </w:p>
    <w:p w14:paraId="011AD6B6">
      <w:pPr>
        <w:keepNext w:val="0"/>
        <w:keepLines w:val="0"/>
        <w:pageBreakBefore w:val="0"/>
        <w:widowControl w:val="0"/>
        <w:tabs>
          <w:tab w:val="right" w:leader="dot" w:pos="6300"/>
        </w:tabs>
        <w:kinsoku/>
        <w:wordWrap/>
        <w:overflowPunct/>
        <w:topLinePunct w:val="0"/>
        <w:autoSpaceDE/>
        <w:autoSpaceDN/>
        <w:bidi w:val="0"/>
        <w:adjustRightInd/>
        <w:snapToGrid/>
        <w:spacing w:before="0" w:beforeAutospacing="0" w:after="0" w:afterAutospacing="0" w:line="400" w:lineRule="exact"/>
        <w:ind w:firstLine="640" w:firstLineChars="200"/>
        <w:jc w:val="left"/>
        <w:textAlignment w:val="auto"/>
        <w:outlineLvl w:val="9"/>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p>
    <w:p w14:paraId="683118E8">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以区港联动、空港联动与区域开放网络融合为重点，构建“水铁空”多式联运开放体系。到2030年，进出口总额达到448亿元，将园区打造成为武汉都市圈对外开放核心节点与长江中游内陆开放新高地。</w:t>
      </w:r>
    </w:p>
    <w:p w14:paraId="79B07153">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一、推进区港空联动。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棋盘洲综保区、一类水运口岸为抓手，构建“水铁空”多式联运开放体系。水运方面，改造新港专用物流通道，实现大宗货物从港口直达产业片区，单箱运输成本降低15%；升级智慧物流平台，推出“海陆联运”一体化服务，形成“港口仓储—保税加工—成品出口”闭环。空运方面，依托鄂州花湖机场，建设航空物流前置仓与多式联运中转枢纽，配套智能分拣、冷链存储等设施，实现“港口+空港”无缝转运；拓展跨境电商9610模式，培育航材保税维修产业，打造中部航材维修基地。铁路方面，强化棋盘洲站国家铁路二级货运枢纽功能，推进疏港铁路与国铁协同，畅通铁矿石、煤炭、粮食等大宗商品“铁路+港口”直达通道。</w:t>
      </w:r>
    </w:p>
    <w:p w14:paraId="1C5EDEA5">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二、融入区域开放网络。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主动对接武汉阳逻港、九江港等枢纽，明确产业分工与功能互补，共同拓展“江海直达+长江班列”航线网络。加强与上海港、宁波港、深圳盐田港等沿海港口联合运营，共建“海进江”“江出海”货源组织体系，新增2条以上特色货种专线。融入省级中欧班列武汉集结中心，拓展欧洲、中亚市场渠道。深入推进与黄冈跨江合作，深化与鄂州等周边地区合作，挖掘无综保区地市外贸资源，推动合作项目超10个。到2030年实现进出口总额达到448亿元。</w:t>
      </w:r>
    </w:p>
    <w:p w14:paraId="6DD8A9AE">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三、激活联动平台效能。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构建“综保区+自贸区联动创新区+跨境电商综试区+一类水运口岸”四维协同体系，建立跨平台数据共享中心，实现海关监管、物流调度、政策申报“一网通办”。推动“保税+跨境电商”联动模式，综保区内保税加工产品通过跨境电商综试区直接面向C端市场，缩短流通链路；打通“口岸+综保区”快速通关机制，进境货物经口岸查验后直接转入综保区保税存储，通关时间压缩50%；推行“自贸区经验+临港场景”适配改革，形成“一场景一方案”。通过平台叠加，每年为企业节省通关成本超2亿元，吸引外向型企业集聚超30家。</w:t>
      </w:r>
    </w:p>
    <w:p w14:paraId="1E4591FB">
      <w:pPr>
        <w:keepNext/>
        <w:keepLines/>
        <w:pageBreakBefore w:val="0"/>
        <w:widowControl w:val="0"/>
        <w:tabs>
          <w:tab w:val="right" w:leader="dot" w:pos="6300"/>
        </w:tabs>
        <w:kinsoku/>
        <w:wordWrap/>
        <w:overflowPunct/>
        <w:topLinePunct w:val="0"/>
        <w:autoSpaceDE/>
        <w:autoSpaceDN/>
        <w:bidi w:val="0"/>
        <w:adjustRightInd/>
        <w:snapToGrid/>
        <w:spacing w:before="0" w:beforeLines="0" w:beforeAutospacing="0" w:after="0" w:afterLines="0" w:afterAutospacing="0" w:line="600" w:lineRule="exact"/>
        <w:jc w:val="center"/>
        <w:textAlignment w:val="auto"/>
        <w:outlineLvl w:val="9"/>
        <w:rPr>
          <w:rFonts w:hint="eastAsia" w:ascii="微软雅黑" w:hAnsi="微软雅黑" w:eastAsia="微软雅黑" w:cs="微软雅黑"/>
          <w:b w:val="0"/>
          <w:bCs/>
          <w:color w:val="000000" w:themeColor="text1"/>
          <w:kern w:val="44"/>
          <w:sz w:val="44"/>
          <w:szCs w:val="24"/>
          <w:lang w:val="en-US" w:eastAsia="zh-CN" w:bidi="ar-SA"/>
          <w14:textFill>
            <w14:solidFill>
              <w14:schemeClr w14:val="tx1"/>
            </w14:solidFill>
          </w14:textFill>
        </w:rPr>
      </w:pPr>
      <w:bookmarkStart w:id="135" w:name="_Toc7655"/>
    </w:p>
    <w:p w14:paraId="434DCBBA">
      <w:pPr>
        <w:pageBreakBefore w:val="0"/>
        <w:tabs>
          <w:tab w:val="right" w:leader="dot" w:pos="6300"/>
        </w:tabs>
        <w:kinsoku/>
        <w:wordWrap/>
        <w:overflowPunct/>
        <w:topLinePunct w:val="0"/>
        <w:autoSpaceDE/>
        <w:autoSpaceDN/>
        <w:bidi w:val="0"/>
        <w:rPr>
          <w:rFonts w:hint="eastAsia" w:ascii="微软雅黑" w:hAnsi="微软雅黑" w:eastAsia="微软雅黑" w:cs="微软雅黑"/>
          <w:b w:val="0"/>
          <w:bCs/>
          <w:color w:val="000000" w:themeColor="text1"/>
          <w:lang w:val="en-US" w:eastAsia="zh-CN"/>
          <w14:textFill>
            <w14:solidFill>
              <w14:schemeClr w14:val="tx1"/>
            </w14:solidFill>
          </w14:textFill>
        </w:rPr>
      </w:pPr>
    </w:p>
    <w:p w14:paraId="08A472D2">
      <w:pPr>
        <w:pageBreakBefore w:val="0"/>
        <w:tabs>
          <w:tab w:val="right" w:leader="dot" w:pos="6300"/>
        </w:tabs>
        <w:kinsoku/>
        <w:wordWrap/>
        <w:overflowPunct/>
        <w:topLinePunct w:val="0"/>
        <w:autoSpaceDE/>
        <w:autoSpaceDN/>
        <w:bidi w:val="0"/>
        <w:rPr>
          <w:rFonts w:hint="eastAsia" w:ascii="微软雅黑" w:hAnsi="微软雅黑" w:eastAsia="微软雅黑" w:cs="微软雅黑"/>
          <w:b w:val="0"/>
          <w:bCs/>
          <w:color w:val="000000" w:themeColor="text1"/>
          <w:lang w:val="en-US" w:eastAsia="zh-CN"/>
          <w14:textFill>
            <w14:solidFill>
              <w14:schemeClr w14:val="tx1"/>
            </w14:solidFill>
          </w14:textFill>
        </w:rPr>
      </w:pPr>
    </w:p>
    <w:p w14:paraId="29FFCBE6">
      <w:pPr>
        <w:pageBreakBefore w:val="0"/>
        <w:tabs>
          <w:tab w:val="right" w:leader="dot" w:pos="6300"/>
        </w:tabs>
        <w:kinsoku/>
        <w:wordWrap/>
        <w:overflowPunct/>
        <w:topLinePunct w:val="0"/>
        <w:autoSpaceDE/>
        <w:autoSpaceDN/>
        <w:bidi w:val="0"/>
        <w:rPr>
          <w:rFonts w:hint="eastAsia" w:ascii="微软雅黑" w:hAnsi="微软雅黑" w:eastAsia="微软雅黑" w:cs="微软雅黑"/>
          <w:b w:val="0"/>
          <w:bCs/>
          <w:color w:val="000000" w:themeColor="text1"/>
          <w:lang w:val="en-US" w:eastAsia="zh-CN"/>
          <w14:textFill>
            <w14:solidFill>
              <w14:schemeClr w14:val="tx1"/>
            </w14:solidFill>
          </w14:textFill>
        </w:rPr>
      </w:pPr>
    </w:p>
    <w:p w14:paraId="02F090EC">
      <w:pPr>
        <w:pageBreakBefore w:val="0"/>
        <w:tabs>
          <w:tab w:val="right" w:leader="dot" w:pos="6300"/>
        </w:tabs>
        <w:kinsoku/>
        <w:wordWrap/>
        <w:overflowPunct/>
        <w:topLinePunct w:val="0"/>
        <w:autoSpaceDE/>
        <w:autoSpaceDN/>
        <w:bidi w:val="0"/>
        <w:rPr>
          <w:rFonts w:hint="eastAsia" w:ascii="微软雅黑" w:hAnsi="微软雅黑" w:eastAsia="微软雅黑" w:cs="微软雅黑"/>
          <w:b w:val="0"/>
          <w:bCs/>
          <w:color w:val="000000" w:themeColor="text1"/>
          <w:lang w:val="en-US" w:eastAsia="zh-CN"/>
          <w14:textFill>
            <w14:solidFill>
              <w14:schemeClr w14:val="tx1"/>
            </w14:solidFill>
          </w14:textFill>
        </w:rPr>
      </w:pPr>
    </w:p>
    <w:p w14:paraId="16287D51">
      <w:pPr>
        <w:pageBreakBefore w:val="0"/>
        <w:tabs>
          <w:tab w:val="right" w:leader="dot" w:pos="6300"/>
        </w:tabs>
        <w:kinsoku/>
        <w:wordWrap/>
        <w:overflowPunct/>
        <w:topLinePunct w:val="0"/>
        <w:autoSpaceDE/>
        <w:autoSpaceDN/>
        <w:bidi w:val="0"/>
        <w:rPr>
          <w:rFonts w:hint="eastAsia" w:ascii="微软雅黑" w:hAnsi="微软雅黑" w:eastAsia="微软雅黑" w:cs="微软雅黑"/>
          <w:b w:val="0"/>
          <w:bCs/>
          <w:color w:val="000000" w:themeColor="text1"/>
          <w:lang w:val="en-US" w:eastAsia="zh-CN"/>
          <w14:textFill>
            <w14:solidFill>
              <w14:schemeClr w14:val="tx1"/>
            </w14:solidFill>
          </w14:textFill>
        </w:rPr>
      </w:pPr>
    </w:p>
    <w:p w14:paraId="54D7291F">
      <w:pPr>
        <w:pageBreakBefore w:val="0"/>
        <w:tabs>
          <w:tab w:val="right" w:leader="dot" w:pos="6300"/>
        </w:tabs>
        <w:kinsoku/>
        <w:wordWrap/>
        <w:overflowPunct/>
        <w:topLinePunct w:val="0"/>
        <w:autoSpaceDE/>
        <w:autoSpaceDN/>
        <w:bidi w:val="0"/>
        <w:rPr>
          <w:rFonts w:hint="eastAsia" w:ascii="微软雅黑" w:hAnsi="微软雅黑" w:eastAsia="微软雅黑" w:cs="微软雅黑"/>
          <w:b w:val="0"/>
          <w:bCs/>
          <w:color w:val="000000" w:themeColor="text1"/>
          <w:lang w:val="en-US" w:eastAsia="zh-CN"/>
          <w14:textFill>
            <w14:solidFill>
              <w14:schemeClr w14:val="tx1"/>
            </w14:solidFill>
          </w14:textFill>
        </w:rPr>
      </w:pPr>
    </w:p>
    <w:p w14:paraId="232B06CC">
      <w:pPr>
        <w:pageBreakBefore w:val="0"/>
        <w:tabs>
          <w:tab w:val="right" w:leader="dot" w:pos="6300"/>
        </w:tabs>
        <w:kinsoku/>
        <w:wordWrap/>
        <w:overflowPunct/>
        <w:topLinePunct w:val="0"/>
        <w:autoSpaceDE/>
        <w:autoSpaceDN/>
        <w:bidi w:val="0"/>
        <w:rPr>
          <w:rFonts w:hint="eastAsia" w:ascii="微软雅黑" w:hAnsi="微软雅黑" w:eastAsia="微软雅黑" w:cs="微软雅黑"/>
          <w:b w:val="0"/>
          <w:bCs/>
          <w:color w:val="000000" w:themeColor="text1"/>
          <w:lang w:val="en-US" w:eastAsia="zh-CN"/>
          <w14:textFill>
            <w14:solidFill>
              <w14:schemeClr w14:val="tx1"/>
            </w14:solidFill>
          </w14:textFill>
        </w:rPr>
      </w:pPr>
    </w:p>
    <w:p w14:paraId="6660E0BD">
      <w:pPr>
        <w:pageBreakBefore w:val="0"/>
        <w:tabs>
          <w:tab w:val="right" w:leader="dot" w:pos="6300"/>
        </w:tabs>
        <w:kinsoku/>
        <w:wordWrap/>
        <w:overflowPunct/>
        <w:topLinePunct w:val="0"/>
        <w:autoSpaceDE/>
        <w:autoSpaceDN/>
        <w:bidi w:val="0"/>
        <w:rPr>
          <w:rFonts w:hint="eastAsia" w:ascii="微软雅黑" w:hAnsi="微软雅黑" w:eastAsia="微软雅黑" w:cs="微软雅黑"/>
          <w:b w:val="0"/>
          <w:bCs/>
          <w:color w:val="000000" w:themeColor="text1"/>
          <w:lang w:val="en-US" w:eastAsia="zh-CN"/>
          <w14:textFill>
            <w14:solidFill>
              <w14:schemeClr w14:val="tx1"/>
            </w14:solidFill>
          </w14:textFill>
        </w:rPr>
      </w:pPr>
    </w:p>
    <w:p w14:paraId="37AEB3FE">
      <w:pPr>
        <w:pStyle w:val="2"/>
        <w:keepNext/>
        <w:keepLines/>
        <w:pageBreakBefore w:val="0"/>
        <w:widowControl w:val="0"/>
        <w:tabs>
          <w:tab w:val="right" w:leader="dot" w:pos="6300"/>
        </w:tabs>
        <w:kinsoku/>
        <w:wordWrap/>
        <w:overflowPunct/>
        <w:topLinePunct w:val="0"/>
        <w:autoSpaceDE/>
        <w:autoSpaceDN/>
        <w:bidi w:val="0"/>
        <w:adjustRightInd/>
        <w:snapToGrid/>
        <w:spacing w:before="0" w:after="0" w:line="600" w:lineRule="exact"/>
        <w:jc w:val="center"/>
        <w:textAlignment w:val="auto"/>
        <w:rPr>
          <w:rFonts w:hint="eastAsia" w:ascii="微软雅黑" w:hAnsi="微软雅黑" w:eastAsia="微软雅黑" w:cs="微软雅黑"/>
          <w:b w:val="0"/>
          <w:bCs/>
          <w:color w:val="000000" w:themeColor="text1"/>
          <w14:textFill>
            <w14:solidFill>
              <w14:schemeClr w14:val="tx1"/>
            </w14:solidFill>
          </w14:textFill>
        </w:rPr>
      </w:pPr>
      <w:bookmarkStart w:id="136" w:name="_Toc15625"/>
      <w:bookmarkStart w:id="137" w:name="_Toc29259"/>
      <w:r>
        <w:rPr>
          <w:rFonts w:hint="eastAsia" w:ascii="微软雅黑" w:hAnsi="微软雅黑" w:eastAsia="微软雅黑" w:cs="微软雅黑"/>
          <w:b w:val="0"/>
          <w:bCs/>
          <w:color w:val="000000" w:themeColor="text1"/>
          <w:lang w:val="en-US" w:eastAsia="zh-CN"/>
          <w14:textFill>
            <w14:solidFill>
              <w14:schemeClr w14:val="tx1"/>
            </w14:solidFill>
          </w14:textFill>
        </w:rPr>
        <w:t>第五章 加快建成</w:t>
      </w:r>
      <w:r>
        <w:rPr>
          <w:rFonts w:hint="eastAsia" w:ascii="微软雅黑" w:hAnsi="微软雅黑" w:eastAsia="微软雅黑" w:cs="微软雅黑"/>
          <w:b w:val="0"/>
          <w:bCs/>
          <w:color w:val="000000" w:themeColor="text1"/>
          <w14:textFill>
            <w14:solidFill>
              <w14:schemeClr w14:val="tx1"/>
            </w14:solidFill>
          </w14:textFill>
        </w:rPr>
        <w:t>产业港</w:t>
      </w:r>
      <w:bookmarkEnd w:id="135"/>
      <w:bookmarkEnd w:id="136"/>
      <w:bookmarkEnd w:id="137"/>
    </w:p>
    <w:p w14:paraId="0F167BCE">
      <w:pPr>
        <w:pStyle w:val="2"/>
        <w:keepNext/>
        <w:keepLines/>
        <w:pageBreakBefore w:val="0"/>
        <w:widowControl w:val="0"/>
        <w:tabs>
          <w:tab w:val="right" w:leader="dot" w:pos="6300"/>
        </w:tabs>
        <w:kinsoku/>
        <w:wordWrap/>
        <w:overflowPunct/>
        <w:topLinePunct w:val="0"/>
        <w:autoSpaceDE/>
        <w:autoSpaceDN/>
        <w:bidi w:val="0"/>
        <w:adjustRightInd/>
        <w:snapToGrid/>
        <w:spacing w:before="0" w:after="0" w:line="600" w:lineRule="exact"/>
        <w:jc w:val="center"/>
        <w:textAlignment w:val="auto"/>
        <w:rPr>
          <w:rFonts w:hint="eastAsia" w:ascii="微软雅黑" w:hAnsi="微软雅黑" w:eastAsia="微软雅黑" w:cs="微软雅黑"/>
          <w:b w:val="0"/>
          <w:bCs/>
          <w:color w:val="000000" w:themeColor="text1"/>
          <w:szCs w:val="32"/>
          <w14:textFill>
            <w14:solidFill>
              <w14:schemeClr w14:val="tx1"/>
            </w14:solidFill>
          </w14:textFill>
        </w:rPr>
      </w:pPr>
      <w:bookmarkStart w:id="138" w:name="_Toc20355"/>
      <w:bookmarkStart w:id="139" w:name="_Toc12694"/>
      <w:bookmarkStart w:id="140" w:name="_Toc19417"/>
      <w:bookmarkStart w:id="141" w:name="_Toc8708"/>
      <w:bookmarkStart w:id="142" w:name="_Toc2887"/>
      <w:r>
        <w:rPr>
          <w:rFonts w:hint="eastAsia" w:ascii="微软雅黑" w:hAnsi="微软雅黑" w:eastAsia="微软雅黑" w:cs="微软雅黑"/>
          <w:b w:val="0"/>
          <w:bCs/>
          <w:color w:val="000000" w:themeColor="text1"/>
          <w14:textFill>
            <w14:solidFill>
              <w14:schemeClr w14:val="tx1"/>
            </w14:solidFill>
          </w14:textFill>
        </w:rPr>
        <w:t>构建现代化</w:t>
      </w:r>
      <w:r>
        <w:rPr>
          <w:rFonts w:hint="eastAsia" w:ascii="微软雅黑" w:hAnsi="微软雅黑" w:eastAsia="微软雅黑" w:cs="微软雅黑"/>
          <w:b w:val="0"/>
          <w:bCs/>
          <w:color w:val="000000" w:themeColor="text1"/>
          <w:lang w:val="en-US" w:eastAsia="zh-CN"/>
          <w14:textFill>
            <w14:solidFill>
              <w14:schemeClr w14:val="tx1"/>
            </w14:solidFill>
          </w14:textFill>
        </w:rPr>
        <w:t>临港</w:t>
      </w:r>
      <w:r>
        <w:rPr>
          <w:rFonts w:hint="eastAsia" w:ascii="微软雅黑" w:hAnsi="微软雅黑" w:eastAsia="微软雅黑" w:cs="微软雅黑"/>
          <w:b w:val="0"/>
          <w:bCs/>
          <w:color w:val="000000" w:themeColor="text1"/>
          <w14:textFill>
            <w14:solidFill>
              <w14:schemeClr w14:val="tx1"/>
            </w14:solidFill>
          </w14:textFill>
        </w:rPr>
        <w:t>产业体系</w:t>
      </w:r>
      <w:bookmarkEnd w:id="138"/>
      <w:bookmarkEnd w:id="139"/>
      <w:bookmarkEnd w:id="140"/>
      <w:bookmarkEnd w:id="141"/>
      <w:bookmarkEnd w:id="142"/>
    </w:p>
    <w:p w14:paraId="21D177A4">
      <w:pPr>
        <w:keepNext w:val="0"/>
        <w:keepLines w:val="0"/>
        <w:pageBreakBefore w:val="0"/>
        <w:widowControl w:val="0"/>
        <w:tabs>
          <w:tab w:val="right" w:leader="dot" w:pos="6300"/>
        </w:tabs>
        <w:kinsoku/>
        <w:wordWrap/>
        <w:overflowPunct/>
        <w:topLinePunct w:val="0"/>
        <w:autoSpaceDE/>
        <w:autoSpaceDN/>
        <w:bidi w:val="0"/>
        <w:adjustRightInd/>
        <w:snapToGrid/>
        <w:spacing w:before="0" w:beforeAutospacing="0" w:after="0" w:afterAutospacing="0" w:line="540" w:lineRule="exact"/>
        <w:ind w:firstLine="640" w:firstLineChars="200"/>
        <w:jc w:val="left"/>
        <w:textAlignment w:val="auto"/>
        <w:outlineLvl w:val="9"/>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bookmarkStart w:id="143" w:name="_Toc1684"/>
    </w:p>
    <w:p w14:paraId="34888CE2">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jc w:val="left"/>
        <w:textAlignment w:val="auto"/>
        <w:outlineLvl w:val="9"/>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bookmarkStart w:id="144" w:name="_Toc26070"/>
      <w:bookmarkStart w:id="145" w:name="_Toc20178"/>
      <w:bookmarkStart w:id="146" w:name="_Toc19378"/>
      <w:bookmarkStart w:id="147" w:name="_Toc13709"/>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坚持传统产业升级与新兴产业培育“双向发力”，聚焦高端化、智能化、绿色化、融合化发展方向，系统推进创新生态构建、数智转型深化、服务配套完善，构建“主导产业引领、新兴产业蓄势、创新支撑有力、数智驱动强劲”的现代化临港产业格局。到2030年，规上工业产值突破1000亿元，奋力建成长江中游临港先进制造高地、创新型产业集群集聚区。</w:t>
      </w:r>
      <w:bookmarkEnd w:id="143"/>
      <w:bookmarkEnd w:id="144"/>
      <w:bookmarkEnd w:id="145"/>
      <w:bookmarkEnd w:id="146"/>
      <w:bookmarkEnd w:id="147"/>
    </w:p>
    <w:p w14:paraId="022AA022">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color w:val="000000" w:themeColor="text1"/>
          <w:lang w:val="en-US" w:eastAsia="zh-CN"/>
          <w14:textFill>
            <w14:solidFill>
              <w14:schemeClr w14:val="tx1"/>
            </w14:solidFill>
          </w14:textFill>
        </w:rPr>
      </w:pPr>
      <w:bookmarkStart w:id="148" w:name="_Toc17508"/>
    </w:p>
    <w:p w14:paraId="3A77DAA9">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20" w:lineRule="exact"/>
        <w:jc w:val="center"/>
        <w:textAlignment w:val="auto"/>
        <w:outlineLvl w:val="0"/>
        <w:rPr>
          <w:rFonts w:hint="default" w:eastAsia="宋体"/>
          <w:color w:val="000000" w:themeColor="text1"/>
          <w:lang w:val="en-US" w:eastAsia="zh-CN"/>
          <w14:textFill>
            <w14:solidFill>
              <w14:schemeClr w14:val="tx1"/>
            </w14:solidFill>
          </w14:textFill>
        </w:rPr>
      </w:pPr>
      <w:bookmarkStart w:id="149" w:name="_Toc5007"/>
      <w:bookmarkStart w:id="150" w:name="_Toc32436"/>
      <w:r>
        <w:rPr>
          <w:rFonts w:hint="eastAsia"/>
          <w:color w:val="000000" w:themeColor="text1"/>
          <w:lang w:val="en-US" w:eastAsia="zh-CN"/>
          <w14:textFill>
            <w14:solidFill>
              <w14:schemeClr w14:val="tx1"/>
            </w14:solidFill>
          </w14:textFill>
        </w:rPr>
        <w:t>第一节 传统</w:t>
      </w:r>
      <w:r>
        <w:rPr>
          <w:rFonts w:hint="eastAsia"/>
          <w:color w:val="000000" w:themeColor="text1"/>
          <w14:textFill>
            <w14:solidFill>
              <w14:schemeClr w14:val="tx1"/>
            </w14:solidFill>
          </w14:textFill>
        </w:rPr>
        <w:t>产业</w:t>
      </w:r>
      <w:bookmarkEnd w:id="148"/>
      <w:r>
        <w:rPr>
          <w:rFonts w:hint="eastAsia"/>
          <w:color w:val="000000" w:themeColor="text1"/>
          <w:lang w:val="en-US" w:eastAsia="zh-CN"/>
          <w14:textFill>
            <w14:solidFill>
              <w14:schemeClr w14:val="tx1"/>
            </w14:solidFill>
          </w14:textFill>
        </w:rPr>
        <w:t>提质升级</w:t>
      </w:r>
      <w:bookmarkEnd w:id="149"/>
      <w:bookmarkEnd w:id="150"/>
    </w:p>
    <w:p w14:paraId="38765468">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3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42E7E648">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聚焦低碳冶金、粮食加工、新型建材等传统产业，推动产业向高端化攀升、向绿色化转型、向集群化发展。到2030年，低碳冶金产值突破600亿元，新型建材产值突破150亿元，粮食年加工量达200万吨，打造国家低碳冶金产业集群，建成长江中游重要的粮食精深加工与集散基地、华中地区绿色循环建材产业基地。</w:t>
      </w:r>
    </w:p>
    <w:p w14:paraId="26C2757B">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一、低碳冶金产业协同发展。</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依托弘盛铜业、宝钢黄石、新港重科等龙头企业，推动产业从规模扩张向质效能级跃升，从传统冶炼单一路径向“高端材料研发+绿色制造赋能+循环利用配套”全链条升级。有色金属向上稳固铜原料供应保障，向下延伸高精度铜板带、6N高纯铜等尖端领域，集聚配套企业，打造服务半导体、5G通信的高端材料集群；金属高端板材产业聚焦超高强度汽车钢、高耐蚀海工钢等高端细分领域，加大核心技术攻关与产品迭代力度，联动下游装备制造、港口建设企业，打造以宝钢、新港重科为龙头的高端钢铁板材生产基地；精密铸造构建“冶炼—铁水供应—精深加工—固废循环”闭环体系，吸引铸造辅料、精密加工配套企业集聚。到2030年，低碳冶金产业产值将突破600亿元，积极创建国家低碳冶金产业集群。</w:t>
      </w:r>
    </w:p>
    <w:p w14:paraId="31E2B8E3">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二、粮食加工产业提链筑质。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海越麦芽、中粮饲料、国储粮等企业为龙头，构建“仓储—加工—贸易—物流—应急储备”全链条产业体系，推动粮食产业从物流集散型向“贸工一体、储加结合”集群发展型转变。完善进境粮食指定监管场地配套，加快粮食接卸中心建设，推进粮食货运管廊实施，实现粮食“铁水联运直达+仓配无缝衔接”。聚焦精深加工补链强链，突破玉米淀粉、专用食用油、高端饲料等加工瓶颈，引进龙头企业，开发营养强化米、谷物蛋白、功能淀粉等高附加值产品。依托棋盘洲综保区探索“保税仓储—加工—出口”模式，对接东南亚、日韩等市场，招引粮食进出口、国际贸易配套企业集聚；建立粮食应急储备体系，健全产业链安全保障环节。到2030年，粮食年加工能力突破200万吨，打造全省粮食产业链核心承载区，建设华中地区粮食储备加工中心和交易枢纽，建成长江中游重要的粮食精深加工与集散基地。</w:t>
      </w:r>
    </w:p>
    <w:p w14:paraId="2A900D52">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三、新型建材产业绿色转型。</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华新水泥等龙头企业为引领，聚焦“固废资源化、产品高端化、生产低碳化”。利用低碳冶金废渣、铸造废砂等工业固废，工业固废综合利用率超95%，打造“工业固废—新型建材”循环产业链。重点研发高性能混凝土、新型墙体材料、低碳保温材料等高端产品。拓展装配式建筑构件、绿色市政建材等应用场景，推动园区新建建筑按绿色建筑标准建设，绿色建材产品占比提升至80%以上。依托港口物流优势，建设新型建材物流配送中心，辐射武汉都市圈及长江中游地区。到2030年新型建材产业产值突破150亿元，建成华中地区绿色循环建材产业基地。</w:t>
      </w:r>
    </w:p>
    <w:p w14:paraId="545E6FB9">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492AA3F1">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left="0" w:leftChars="0" w:firstLine="0" w:firstLineChars="0"/>
        <w:jc w:val="center"/>
        <w:textAlignment w:val="auto"/>
        <w:rPr>
          <w:rFonts w:hint="eastAsia" w:ascii="黑体" w:hAnsi="黑体" w:eastAsia="黑体" w:cs="黑体"/>
          <w:color w:val="000000" w:themeColor="text1"/>
          <w:sz w:val="32"/>
          <w:szCs w:val="32"/>
          <w:lang w:val="en-US" w:eastAsia="zh-CN"/>
          <w14:textFill>
            <w14:solidFill>
              <w14:schemeClr w14:val="tx1"/>
            </w14:solidFill>
          </w14:textFill>
        </w:rPr>
      </w:pPr>
      <w:bookmarkStart w:id="151" w:name="_Toc4682"/>
      <w:r>
        <w:rPr>
          <w:rFonts w:hint="eastAsia" w:ascii="黑体" w:hAnsi="黑体" w:eastAsia="黑体" w:cs="黑体"/>
          <w:color w:val="000000" w:themeColor="text1"/>
          <w:sz w:val="32"/>
          <w:szCs w:val="32"/>
          <w:lang w:val="en-US" w:eastAsia="zh-CN"/>
          <w14:textFill>
            <w14:solidFill>
              <w14:schemeClr w14:val="tx1"/>
            </w14:solidFill>
          </w14:textFill>
        </w:rPr>
        <w:t>专栏7：新港园区传统产业重点项目</w:t>
      </w:r>
    </w:p>
    <w:tbl>
      <w:tblPr>
        <w:tblStyle w:val="11"/>
        <w:tblW w:w="0" w:type="auto"/>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autofit"/>
        <w:tblCellMar>
          <w:top w:w="0" w:type="dxa"/>
          <w:left w:w="108" w:type="dxa"/>
          <w:bottom w:w="0" w:type="dxa"/>
          <w:right w:w="108" w:type="dxa"/>
        </w:tblCellMar>
      </w:tblPr>
      <w:tblGrid>
        <w:gridCol w:w="8865"/>
      </w:tblGrid>
      <w:tr w14:paraId="0B34F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PrEx>
        <w:tc>
          <w:tcPr>
            <w:tcW w:w="8865" w:type="dxa"/>
            <w:shd w:val="clear" w:color="auto" w:fill="auto"/>
          </w:tcPr>
          <w:p w14:paraId="2B59599A">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20" w:lineRule="exact"/>
              <w:ind w:firstLine="643" w:firstLineChars="200"/>
              <w:textAlignment w:val="auto"/>
              <w:rPr>
                <w:rFonts w:hint="eastAsia" w:ascii="楷体" w:hAnsi="楷体" w:eastAsia="楷体" w:cs="楷体"/>
                <w:b/>
                <w:bCs/>
                <w:color w:val="000000" w:themeColor="text1"/>
                <w:sz w:val="32"/>
                <w:szCs w:val="32"/>
                <w:lang w:val="en-US" w:eastAsia="zh-CN"/>
                <w14:textFill>
                  <w14:solidFill>
                    <w14:schemeClr w14:val="tx1"/>
                  </w14:solidFill>
                </w14:textFill>
              </w:rPr>
            </w:pPr>
            <w:r>
              <w:rPr>
                <w:rFonts w:hint="eastAsia" w:ascii="楷体" w:hAnsi="楷体" w:eastAsia="楷体" w:cs="楷体"/>
                <w:b/>
                <w:bCs/>
                <w:color w:val="000000" w:themeColor="text1"/>
                <w:sz w:val="32"/>
                <w:szCs w:val="32"/>
                <w:lang w:val="en-US" w:eastAsia="zh-CN"/>
                <w14:textFill>
                  <w14:solidFill>
                    <w14:schemeClr w14:val="tx1"/>
                  </w14:solidFill>
                </w14:textFill>
              </w:rPr>
              <w:t>低碳冶金产业（有色金属）：</w:t>
            </w:r>
            <w:r>
              <w:rPr>
                <w:rFonts w:hint="eastAsia" w:ascii="楷体" w:hAnsi="楷体" w:eastAsia="楷体" w:cs="楷体"/>
                <w:color w:val="000000" w:themeColor="text1"/>
                <w:sz w:val="32"/>
                <w:szCs w:val="32"/>
                <w:lang w:val="en-US" w:eastAsia="zh-CN"/>
                <w14:textFill>
                  <w14:solidFill>
                    <w14:schemeClr w14:val="tx1"/>
                  </w14:solidFill>
                </w14:textFill>
              </w:rPr>
              <w:t>弘盛铜业6N铜中试平台项目、弘盛铜业污酸处理工艺技术改造项目。</w:t>
            </w:r>
          </w:p>
          <w:p w14:paraId="2CA2483E">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20" w:lineRule="exact"/>
              <w:ind w:firstLine="643" w:firstLineChars="200"/>
              <w:textAlignment w:val="auto"/>
              <w:rPr>
                <w:rFonts w:hint="eastAsia" w:ascii="楷体" w:hAnsi="楷体" w:eastAsia="楷体" w:cs="楷体"/>
                <w:b/>
                <w:bCs/>
                <w:color w:val="000000" w:themeColor="text1"/>
                <w:sz w:val="32"/>
                <w:szCs w:val="32"/>
                <w:lang w:val="en-US" w:eastAsia="zh-CN"/>
                <w14:textFill>
                  <w14:solidFill>
                    <w14:schemeClr w14:val="tx1"/>
                  </w14:solidFill>
                </w14:textFill>
              </w:rPr>
            </w:pPr>
            <w:r>
              <w:rPr>
                <w:rFonts w:hint="eastAsia" w:ascii="楷体" w:hAnsi="楷体" w:eastAsia="楷体" w:cs="楷体"/>
                <w:b/>
                <w:bCs/>
                <w:color w:val="000000" w:themeColor="text1"/>
                <w:sz w:val="32"/>
                <w:szCs w:val="32"/>
                <w:lang w:val="en-US" w:eastAsia="zh-CN"/>
                <w14:textFill>
                  <w14:solidFill>
                    <w14:schemeClr w14:val="tx1"/>
                  </w14:solidFill>
                </w14:textFill>
              </w:rPr>
              <w:t>低碳冶金产业（金属高端板材）：</w:t>
            </w:r>
            <w:r>
              <w:rPr>
                <w:rFonts w:hint="eastAsia" w:ascii="楷体" w:hAnsi="楷体" w:eastAsia="楷体" w:cs="楷体"/>
                <w:color w:val="000000" w:themeColor="text1"/>
                <w:sz w:val="32"/>
                <w:szCs w:val="32"/>
                <w:lang w:val="en-US" w:eastAsia="zh-CN"/>
                <w14:textFill>
                  <w14:solidFill>
                    <w14:schemeClr w14:val="tx1"/>
                  </w14:solidFill>
                </w14:textFill>
              </w:rPr>
              <w:t>新港重科绿色低碳钢铁生产基地项目、特钢新材料研发生产基地项目、宝钢彩涂扩建项目。</w:t>
            </w:r>
          </w:p>
          <w:p w14:paraId="0B16AA04">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20" w:lineRule="exact"/>
              <w:ind w:firstLine="643" w:firstLineChars="200"/>
              <w:textAlignment w:val="auto"/>
              <w:rPr>
                <w:rFonts w:hint="eastAsia" w:ascii="楷体" w:hAnsi="楷体" w:eastAsia="楷体" w:cs="楷体"/>
                <w:color w:val="000000" w:themeColor="text1"/>
                <w:sz w:val="32"/>
                <w:szCs w:val="32"/>
                <w:lang w:val="en-US" w:eastAsia="zh-CN"/>
                <w14:textFill>
                  <w14:solidFill>
                    <w14:schemeClr w14:val="tx1"/>
                  </w14:solidFill>
                </w14:textFill>
              </w:rPr>
            </w:pPr>
            <w:r>
              <w:rPr>
                <w:rFonts w:hint="eastAsia" w:ascii="楷体" w:hAnsi="楷体" w:eastAsia="楷体" w:cs="楷体"/>
                <w:b/>
                <w:bCs/>
                <w:color w:val="000000" w:themeColor="text1"/>
                <w:sz w:val="32"/>
                <w:szCs w:val="32"/>
                <w:lang w:val="en-US" w:eastAsia="zh-CN"/>
                <w14:textFill>
                  <w14:solidFill>
                    <w14:schemeClr w14:val="tx1"/>
                  </w14:solidFill>
                </w14:textFill>
              </w:rPr>
              <w:t>低碳冶金产业（精密铸造）：</w:t>
            </w:r>
            <w:r>
              <w:rPr>
                <w:rFonts w:hint="default" w:ascii="楷体" w:hAnsi="楷体" w:eastAsia="楷体" w:cs="楷体"/>
                <w:color w:val="000000" w:themeColor="text1"/>
                <w:sz w:val="32"/>
                <w:szCs w:val="32"/>
                <w:lang w:val="en-US" w:eastAsia="zh-CN"/>
                <w14:textFill>
                  <w14:solidFill>
                    <w14:schemeClr w14:val="tx1"/>
                  </w14:solidFill>
                </w14:textFill>
              </w:rPr>
              <w:t>绿色铸造产业园项目</w:t>
            </w:r>
            <w:r>
              <w:rPr>
                <w:rFonts w:hint="eastAsia" w:ascii="楷体" w:hAnsi="楷体" w:eastAsia="楷体" w:cs="楷体"/>
                <w:color w:val="000000" w:themeColor="text1"/>
                <w:sz w:val="32"/>
                <w:szCs w:val="32"/>
                <w:lang w:val="en-US" w:eastAsia="zh-CN"/>
                <w14:textFill>
                  <w14:solidFill>
                    <w14:schemeClr w14:val="tx1"/>
                  </w14:solidFill>
                </w14:textFill>
              </w:rPr>
              <w:t>、湖北优科精密制造有限公司铸造深加工项目、</w:t>
            </w:r>
            <w:r>
              <w:rPr>
                <w:rFonts w:hint="default" w:ascii="楷体" w:hAnsi="楷体" w:eastAsia="楷体" w:cs="楷体"/>
                <w:color w:val="000000" w:themeColor="text1"/>
                <w:sz w:val="32"/>
                <w:szCs w:val="32"/>
                <w:lang w:val="en-US" w:eastAsia="zh-CN"/>
                <w14:textFill>
                  <w14:solidFill>
                    <w14:schemeClr w14:val="tx1"/>
                  </w14:solidFill>
                </w14:textFill>
              </w:rPr>
              <w:t>金呈装备二期</w:t>
            </w:r>
            <w:r>
              <w:rPr>
                <w:rFonts w:hint="eastAsia" w:ascii="楷体" w:hAnsi="楷体" w:eastAsia="楷体" w:cs="楷体"/>
                <w:color w:val="000000" w:themeColor="text1"/>
                <w:sz w:val="32"/>
                <w:szCs w:val="32"/>
                <w:lang w:val="en-US" w:eastAsia="zh-CN"/>
                <w14:textFill>
                  <w14:solidFill>
                    <w14:schemeClr w14:val="tx1"/>
                  </w14:solidFill>
                </w14:textFill>
              </w:rPr>
              <w:t>、</w:t>
            </w:r>
            <w:r>
              <w:rPr>
                <w:rFonts w:hint="default" w:ascii="楷体" w:hAnsi="楷体" w:eastAsia="楷体" w:cs="楷体"/>
                <w:color w:val="000000" w:themeColor="text1"/>
                <w:sz w:val="32"/>
                <w:szCs w:val="32"/>
                <w:lang w:val="en-US" w:eastAsia="zh-CN"/>
                <w14:textFill>
                  <w14:solidFill>
                    <w14:schemeClr w14:val="tx1"/>
                  </w14:solidFill>
                </w14:textFill>
              </w:rPr>
              <w:t>华中智能应急装备制造基地项目</w:t>
            </w:r>
            <w:r>
              <w:rPr>
                <w:rFonts w:hint="eastAsia" w:ascii="楷体" w:hAnsi="楷体" w:eastAsia="楷体" w:cs="楷体"/>
                <w:color w:val="000000" w:themeColor="text1"/>
                <w:sz w:val="32"/>
                <w:szCs w:val="32"/>
                <w:lang w:val="en-US" w:eastAsia="zh-CN"/>
                <w14:textFill>
                  <w14:solidFill>
                    <w14:schemeClr w14:val="tx1"/>
                  </w14:solidFill>
                </w14:textFill>
              </w:rPr>
              <w:t>。</w:t>
            </w:r>
          </w:p>
          <w:p w14:paraId="223B252C">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20" w:lineRule="exact"/>
              <w:ind w:firstLine="643" w:firstLineChars="200"/>
              <w:textAlignment w:val="auto"/>
              <w:rPr>
                <w:rFonts w:hint="eastAsia" w:ascii="楷体" w:hAnsi="楷体" w:eastAsia="楷体" w:cs="楷体"/>
                <w:color w:val="000000" w:themeColor="text1"/>
                <w:sz w:val="32"/>
                <w:szCs w:val="32"/>
                <w:lang w:val="en-US" w:eastAsia="zh-CN"/>
                <w14:textFill>
                  <w14:solidFill>
                    <w14:schemeClr w14:val="tx1"/>
                  </w14:solidFill>
                </w14:textFill>
              </w:rPr>
            </w:pPr>
            <w:r>
              <w:rPr>
                <w:rFonts w:hint="eastAsia" w:ascii="楷体" w:hAnsi="楷体" w:eastAsia="楷体" w:cs="楷体"/>
                <w:b/>
                <w:bCs/>
                <w:color w:val="000000" w:themeColor="text1"/>
                <w:sz w:val="32"/>
                <w:szCs w:val="32"/>
                <w:lang w:val="en-US" w:eastAsia="zh-CN"/>
                <w14:textFill>
                  <w14:solidFill>
                    <w14:schemeClr w14:val="tx1"/>
                  </w14:solidFill>
                </w14:textFill>
              </w:rPr>
              <w:t>粮食加工产业：</w:t>
            </w:r>
            <w:r>
              <w:rPr>
                <w:rFonts w:hint="eastAsia" w:ascii="楷体" w:hAnsi="楷体" w:eastAsia="楷体" w:cs="楷体"/>
                <w:color w:val="000000" w:themeColor="text1"/>
                <w:sz w:val="32"/>
                <w:szCs w:val="32"/>
                <w:lang w:val="en-US" w:eastAsia="zh-CN"/>
                <w14:textFill>
                  <w14:solidFill>
                    <w14:schemeClr w14:val="tx1"/>
                  </w14:solidFill>
                </w14:textFill>
              </w:rPr>
              <w:t>海越麦芽三期、空中廊道工程Ⅳ号线（粮食专用线）、黄石新港大宗商品和粮食产品物流基地项目、金海生态科技禽蛋示范养殖产业基地项目、海口湖健康鱼科技产业园、新港园区农业基地建设项目、粮食物流园三期项目、黄石新港进境粮食加工项目、黄石新港绿色食品加工产业园。</w:t>
            </w:r>
          </w:p>
          <w:p w14:paraId="0B2EF488">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20" w:lineRule="exact"/>
              <w:ind w:firstLine="643" w:firstLineChars="200"/>
              <w:textAlignment w:val="auto"/>
              <w:rPr>
                <w:rFonts w:hint="default" w:ascii="楷体" w:hAnsi="楷体" w:eastAsia="楷体" w:cs="楷体"/>
                <w:color w:val="000000" w:themeColor="text1"/>
                <w:sz w:val="32"/>
                <w:szCs w:val="32"/>
                <w:lang w:val="en-US" w:eastAsia="zh-CN"/>
                <w14:textFill>
                  <w14:solidFill>
                    <w14:schemeClr w14:val="tx1"/>
                  </w14:solidFill>
                </w14:textFill>
              </w:rPr>
            </w:pPr>
            <w:r>
              <w:rPr>
                <w:rFonts w:hint="eastAsia" w:ascii="楷体" w:hAnsi="楷体" w:eastAsia="楷体" w:cs="楷体"/>
                <w:b/>
                <w:bCs/>
                <w:color w:val="000000" w:themeColor="text1"/>
                <w:sz w:val="32"/>
                <w:szCs w:val="32"/>
                <w:lang w:val="en-US" w:eastAsia="zh-CN"/>
                <w14:textFill>
                  <w14:solidFill>
                    <w14:schemeClr w14:val="tx1"/>
                  </w14:solidFill>
                </w14:textFill>
              </w:rPr>
              <w:t>新型建材产业：</w:t>
            </w:r>
            <w:r>
              <w:rPr>
                <w:rFonts w:hint="default" w:ascii="楷体" w:hAnsi="楷体" w:eastAsia="楷体" w:cs="楷体"/>
                <w:color w:val="000000" w:themeColor="text1"/>
                <w:sz w:val="32"/>
                <w:szCs w:val="32"/>
                <w:lang w:val="en-US" w:eastAsia="zh-CN"/>
                <w14:textFill>
                  <w14:solidFill>
                    <w14:schemeClr w14:val="tx1"/>
                  </w14:solidFill>
                </w14:textFill>
              </w:rPr>
              <w:t>黄石城发临港低碳智能制造项目</w:t>
            </w:r>
            <w:r>
              <w:rPr>
                <w:rFonts w:hint="eastAsia" w:ascii="楷体" w:hAnsi="楷体" w:eastAsia="楷体" w:cs="楷体"/>
                <w:color w:val="000000" w:themeColor="text1"/>
                <w:sz w:val="32"/>
                <w:szCs w:val="32"/>
                <w:lang w:val="en-US" w:eastAsia="zh-CN"/>
                <w14:textFill>
                  <w14:solidFill>
                    <w14:schemeClr w14:val="tx1"/>
                  </w14:solidFill>
                </w14:textFill>
              </w:rPr>
              <w:t>、黄石城发新港绿色新材料生产基地项目、</w:t>
            </w:r>
            <w:r>
              <w:rPr>
                <w:rFonts w:hint="default" w:ascii="楷体" w:hAnsi="楷体" w:eastAsia="楷体" w:cs="楷体"/>
                <w:color w:val="000000" w:themeColor="text1"/>
                <w:sz w:val="32"/>
                <w:szCs w:val="32"/>
                <w:lang w:val="en-US" w:eastAsia="zh-CN"/>
                <w14:textFill>
                  <w14:solidFill>
                    <w14:schemeClr w14:val="tx1"/>
                  </w14:solidFill>
                </w14:textFill>
              </w:rPr>
              <w:t>东耀（黄石）环保科技有限公司新型复合绿色建材项目</w:t>
            </w:r>
            <w:r>
              <w:rPr>
                <w:rFonts w:hint="eastAsia" w:ascii="楷体" w:hAnsi="楷体" w:eastAsia="楷体" w:cs="楷体"/>
                <w:color w:val="000000" w:themeColor="text1"/>
                <w:sz w:val="32"/>
                <w:szCs w:val="32"/>
                <w:lang w:val="en-US" w:eastAsia="zh-CN"/>
                <w14:textFill>
                  <w14:solidFill>
                    <w14:schemeClr w14:val="tx1"/>
                  </w14:solidFill>
                </w14:textFill>
              </w:rPr>
              <w:t>、</w:t>
            </w:r>
            <w:r>
              <w:rPr>
                <w:rFonts w:hint="default" w:ascii="楷体" w:hAnsi="楷体" w:eastAsia="楷体" w:cs="楷体"/>
                <w:color w:val="000000" w:themeColor="text1"/>
                <w:sz w:val="32"/>
                <w:szCs w:val="32"/>
                <w:lang w:val="en-US" w:eastAsia="zh-CN"/>
                <w14:textFill>
                  <w14:solidFill>
                    <w14:schemeClr w14:val="tx1"/>
                  </w14:solidFill>
                </w14:textFill>
              </w:rPr>
              <w:t>华新装备产业园项目</w:t>
            </w:r>
            <w:r>
              <w:rPr>
                <w:rFonts w:hint="eastAsia" w:ascii="楷体" w:hAnsi="楷体" w:eastAsia="楷体" w:cs="楷体"/>
                <w:color w:val="000000" w:themeColor="text1"/>
                <w:sz w:val="32"/>
                <w:szCs w:val="32"/>
                <w:lang w:val="en-US" w:eastAsia="zh-CN"/>
                <w14:textFill>
                  <w14:solidFill>
                    <w14:schemeClr w14:val="tx1"/>
                  </w14:solidFill>
                </w14:textFill>
              </w:rPr>
              <w:t>、</w:t>
            </w:r>
            <w:r>
              <w:rPr>
                <w:rFonts w:hint="default" w:ascii="楷体" w:hAnsi="楷体" w:eastAsia="楷体" w:cs="楷体"/>
                <w:color w:val="000000" w:themeColor="text1"/>
                <w:sz w:val="32"/>
                <w:szCs w:val="32"/>
                <w:lang w:val="en-US" w:eastAsia="zh-CN"/>
                <w14:textFill>
                  <w14:solidFill>
                    <w14:schemeClr w14:val="tx1"/>
                  </w14:solidFill>
                </w14:textFill>
              </w:rPr>
              <w:t>丰源钙业窑炉改造项目</w:t>
            </w:r>
            <w:r>
              <w:rPr>
                <w:rFonts w:hint="eastAsia" w:ascii="楷体" w:hAnsi="楷体" w:eastAsia="楷体" w:cs="楷体"/>
                <w:color w:val="000000" w:themeColor="text1"/>
                <w:sz w:val="32"/>
                <w:szCs w:val="32"/>
                <w:lang w:val="en-US" w:eastAsia="zh-CN"/>
                <w14:textFill>
                  <w14:solidFill>
                    <w14:schemeClr w14:val="tx1"/>
                  </w14:solidFill>
                </w14:textFill>
              </w:rPr>
              <w:t>。</w:t>
            </w:r>
          </w:p>
        </w:tc>
      </w:tr>
    </w:tbl>
    <w:p w14:paraId="6B331B1B">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jc w:val="center"/>
        <w:textAlignment w:val="auto"/>
        <w:outlineLvl w:val="0"/>
        <w:rPr>
          <w:rFonts w:hint="eastAsia"/>
          <w:color w:val="000000" w:themeColor="text1"/>
          <w:lang w:val="en-US" w:eastAsia="zh-CN"/>
          <w14:textFill>
            <w14:solidFill>
              <w14:schemeClr w14:val="tx1"/>
            </w14:solidFill>
          </w14:textFill>
        </w:rPr>
      </w:pPr>
      <w:bookmarkStart w:id="152" w:name="_Toc26369"/>
      <w:bookmarkStart w:id="153" w:name="_Toc28061"/>
    </w:p>
    <w:p w14:paraId="3348F63D">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jc w:val="center"/>
        <w:textAlignment w:val="auto"/>
        <w:outlineLvl w:val="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第二节 培育壮大新兴产业</w:t>
      </w:r>
      <w:bookmarkEnd w:id="151"/>
      <w:bookmarkEnd w:id="152"/>
      <w:bookmarkEnd w:id="153"/>
    </w:p>
    <w:p w14:paraId="241D9F12">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4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3C14F3E1">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以场景赋能、精准聚焦、落地见效为导向，重点发展低空经济、高端制造、生命健康、保税加工四大新兴产业。到2030年，培育相关企业50家以上，新兴产业总产值突破100亿元。</w:t>
      </w:r>
    </w:p>
    <w:p w14:paraId="7EABAA27">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一、发展低空飞行产业。</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依托海口湖优质空域资源，构建“场景赋能+企业支撑+服务配套”发展格局。串联海口湖生态廊道、金海茶山，开发环湖低空游览、跨片区空中体验、定制化飞行线路等产品；结合综保区跨境电商货物流转需求，开通短途货运航线；联动应急、消防、医疗等部门，建立低空应急响应机制，提供灾害巡查、快速搜救、医疗转运、应急物资投送等实战化服务。定向招引低空飞行器制造、文旅运营、无人机物流、飞行调度系统研发、低空通信技术服务等领域骨干企业。到2030年，建成3条以上成熟示范航线，年吸引游客超50万人次，引进培育低空经济相关企业10家以上。</w:t>
      </w:r>
    </w:p>
    <w:p w14:paraId="1EDB3AEB">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二、发展高端装备制造产业。</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聚焦港口智能装备配件、冶金专用精密部件、通用型传感器三大赛道，构建“本地配套+共性技术研发+场景应用”产业体系。定向对接园区龙头企业生产需求，招引配套零部件生产企业，实现就近配套降低运输成本；依托武汉都市圈高端装备制造产业集群，深度融入武汉“光芯屏端网”、新能源与智能网联汽车两大千亿级产业集群，承接核心材料、精密部件、配套总成环节，打造武汉万亿产业集群关键配套基地；推动现有企业轻量化数字化改造。到2030年，培育高端制造企业10家以上，产值突破30亿元。</w:t>
      </w:r>
    </w:p>
    <w:p w14:paraId="55595BD6">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三、发展生命健康产业。</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聚焦生物制药、药食同源深加工、医疗器械三大方向，构建“研发—生产—加工—应用—服务”全链条产业体系。药食同源领域以白茶、菌菇等本地特色农产品为重点，延伸“种植—加工—研发—销售”产业链，开发高附加值产品；医疗器械领域重点发展智能诊疗设备、微创治疗器械、高端诊断试剂，突破核心零部件与关键技术，推动产品与园区康养场景、周边医疗机构联动应用。搭建研发检测、成果转化、市场推广等公共服务平台。到2030年，培育生命健康企业16家以上，产值突破40亿元。</w:t>
      </w:r>
    </w:p>
    <w:p w14:paraId="39761BAC">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黑体" w:hAnsi="黑体" w:eastAsia="黑体" w:cs="黑体"/>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四、发展保税加工产业。</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依托综保区“保税+免税+退税”政策优势和自贸区联动创新区功能叠加，聚焦电子信息、新材料、汽车零部件等高附加值领域，重点发展PCB及电子元器件保税制造、汽车零部件保税组装及分拨，引进行业头部企业，带动上下游配套集聚。深化“保税+本地产业”联动，引导市内电子信息、新材料企业将关键生产环节延伸至综保区。到2030年，培育保税加工企业15家以上，其中亿元级企业5家，产值突破30亿元。</w:t>
      </w:r>
    </w:p>
    <w:p w14:paraId="46A8AC9A">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left="0" w:leftChars="0" w:firstLine="0" w:firstLineChars="0"/>
        <w:jc w:val="center"/>
        <w:textAlignment w:val="auto"/>
        <w:rPr>
          <w:rFonts w:hint="eastAsia" w:ascii="黑体" w:hAnsi="黑体" w:eastAsia="黑体" w:cs="黑体"/>
          <w:color w:val="000000" w:themeColor="text1"/>
          <w:sz w:val="32"/>
          <w:szCs w:val="32"/>
          <w:lang w:val="en-US" w:eastAsia="zh-CN"/>
          <w14:textFill>
            <w14:solidFill>
              <w14:schemeClr w14:val="tx1"/>
            </w14:solidFill>
          </w14:textFill>
        </w:rPr>
      </w:pPr>
    </w:p>
    <w:p w14:paraId="2C82240B">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left="0" w:leftChars="0" w:firstLine="0" w:firstLineChars="0"/>
        <w:jc w:val="center"/>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专栏8：新港园区新兴产业重点项目</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AFFB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5B038E79">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30" w:lineRule="exact"/>
              <w:ind w:firstLine="643" w:firstLineChars="200"/>
              <w:textAlignment w:val="auto"/>
              <w:rPr>
                <w:rFonts w:hint="eastAsia" w:ascii="楷体" w:hAnsi="楷体" w:eastAsia="楷体" w:cs="楷体"/>
                <w:color w:val="000000" w:themeColor="text1"/>
                <w:sz w:val="32"/>
                <w:szCs w:val="32"/>
                <w:lang w:val="en-US" w:eastAsia="zh-CN"/>
                <w14:textFill>
                  <w14:solidFill>
                    <w14:schemeClr w14:val="tx1"/>
                  </w14:solidFill>
                </w14:textFill>
              </w:rPr>
            </w:pPr>
            <w:r>
              <w:rPr>
                <w:rFonts w:hint="eastAsia" w:ascii="楷体" w:hAnsi="楷体" w:eastAsia="楷体" w:cs="楷体"/>
                <w:b/>
                <w:bCs/>
                <w:color w:val="000000" w:themeColor="text1"/>
                <w:sz w:val="32"/>
                <w:szCs w:val="32"/>
                <w:lang w:val="en-US" w:eastAsia="zh-CN"/>
                <w14:textFill>
                  <w14:solidFill>
                    <w14:schemeClr w14:val="tx1"/>
                  </w14:solidFill>
                </w14:textFill>
              </w:rPr>
              <w:t>低空飞行产业：</w:t>
            </w:r>
            <w:r>
              <w:rPr>
                <w:rFonts w:hint="eastAsia" w:ascii="楷体" w:hAnsi="楷体" w:eastAsia="楷体" w:cs="楷体"/>
                <w:color w:val="000000" w:themeColor="text1"/>
                <w:sz w:val="32"/>
                <w:szCs w:val="32"/>
                <w:lang w:val="en-US" w:eastAsia="zh-CN"/>
                <w14:textFill>
                  <w14:solidFill>
                    <w14:schemeClr w14:val="tx1"/>
                  </w14:solidFill>
                </w14:textFill>
              </w:rPr>
              <w:t>低空数据服务中心暨空域管理平台、黄石低空装备智造基地、智慧物流无人岛无人机集群项目、“湖光山色”低空观光农文旅项目、“港口－机场”应急物资无人机快速转运系统。</w:t>
            </w:r>
          </w:p>
          <w:p w14:paraId="67E68592">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30" w:lineRule="exact"/>
              <w:ind w:firstLine="643" w:firstLineChars="200"/>
              <w:textAlignment w:val="auto"/>
              <w:rPr>
                <w:rFonts w:hint="eastAsia" w:ascii="楷体" w:hAnsi="楷体" w:eastAsia="楷体" w:cs="楷体"/>
                <w:color w:val="000000" w:themeColor="text1"/>
                <w:sz w:val="32"/>
                <w:szCs w:val="32"/>
                <w:lang w:val="en-US" w:eastAsia="zh-CN"/>
                <w14:textFill>
                  <w14:solidFill>
                    <w14:schemeClr w14:val="tx1"/>
                  </w14:solidFill>
                </w14:textFill>
              </w:rPr>
            </w:pPr>
            <w:r>
              <w:rPr>
                <w:rFonts w:hint="eastAsia" w:ascii="楷体" w:hAnsi="楷体" w:eastAsia="楷体" w:cs="楷体"/>
                <w:b/>
                <w:bCs/>
                <w:color w:val="000000" w:themeColor="text1"/>
                <w:sz w:val="32"/>
                <w:szCs w:val="32"/>
                <w:lang w:val="en-US" w:eastAsia="zh-CN"/>
                <w14:textFill>
                  <w14:solidFill>
                    <w14:schemeClr w14:val="tx1"/>
                  </w14:solidFill>
                </w14:textFill>
              </w:rPr>
              <w:t>高端制造产业：</w:t>
            </w:r>
            <w:r>
              <w:rPr>
                <w:rFonts w:hint="eastAsia" w:ascii="楷体" w:hAnsi="楷体" w:eastAsia="楷体" w:cs="楷体"/>
                <w:color w:val="000000" w:themeColor="text1"/>
                <w:sz w:val="32"/>
                <w:szCs w:val="32"/>
                <w:lang w:val="en-US" w:eastAsia="zh-CN"/>
                <w14:textFill>
                  <w14:solidFill>
                    <w14:schemeClr w14:val="tx1"/>
                  </w14:solidFill>
                </w14:textFill>
              </w:rPr>
              <w:t>湖北优科精密制造有限公司铸件深加工项目、高端汽车锻造铝合金轮毂智能制造项目、湖北汇能新材料科技有限公司智能制造示范基地项目、微型声学器件生产项目、黄石新港绿色金属精加工项目、汽车模具制造</w:t>
            </w:r>
            <w:r>
              <w:rPr>
                <w:rFonts w:hint="eastAsia" w:ascii="楷体" w:hAnsi="楷体" w:eastAsia="楷体" w:cs="楷体"/>
                <w:color w:val="000000" w:themeColor="text1"/>
                <w:spacing w:val="-6"/>
                <w:sz w:val="32"/>
                <w:szCs w:val="32"/>
                <w:lang w:val="en-US" w:eastAsia="zh-CN"/>
                <w14:textFill>
                  <w14:solidFill>
                    <w14:schemeClr w14:val="tx1"/>
                  </w14:solidFill>
                </w14:textFill>
              </w:rPr>
              <w:t>产</w:t>
            </w:r>
            <w:r>
              <w:rPr>
                <w:rFonts w:hint="eastAsia" w:ascii="楷体" w:hAnsi="楷体" w:eastAsia="楷体" w:cs="楷体"/>
                <w:color w:val="000000" w:themeColor="text1"/>
                <w:sz w:val="32"/>
                <w:szCs w:val="32"/>
                <w:lang w:val="en-US" w:eastAsia="zh-CN"/>
                <w14:textFill>
                  <w14:solidFill>
                    <w14:schemeClr w14:val="tx1"/>
                  </w14:solidFill>
                </w14:textFill>
              </w:rPr>
              <w:t>业园。</w:t>
            </w:r>
          </w:p>
          <w:p w14:paraId="06CA99E6">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30" w:lineRule="exact"/>
              <w:ind w:firstLine="643" w:firstLineChars="200"/>
              <w:textAlignment w:val="auto"/>
              <w:rPr>
                <w:rFonts w:hint="eastAsia" w:ascii="楷体" w:hAnsi="楷体" w:eastAsia="楷体" w:cs="楷体"/>
                <w:color w:val="000000" w:themeColor="text1"/>
                <w:sz w:val="32"/>
                <w:szCs w:val="32"/>
                <w:lang w:val="en-US" w:eastAsia="zh-CN"/>
                <w14:textFill>
                  <w14:solidFill>
                    <w14:schemeClr w14:val="tx1"/>
                  </w14:solidFill>
                </w14:textFill>
              </w:rPr>
            </w:pPr>
            <w:r>
              <w:rPr>
                <w:rFonts w:hint="eastAsia" w:ascii="楷体" w:hAnsi="楷体" w:eastAsia="楷体" w:cs="楷体"/>
                <w:b/>
                <w:bCs/>
                <w:color w:val="000000" w:themeColor="text1"/>
                <w:sz w:val="32"/>
                <w:szCs w:val="32"/>
                <w:lang w:val="en-US" w:eastAsia="zh-CN"/>
                <w14:textFill>
                  <w14:solidFill>
                    <w14:schemeClr w14:val="tx1"/>
                  </w14:solidFill>
                </w14:textFill>
              </w:rPr>
              <w:t>生命健康产业：</w:t>
            </w:r>
            <w:r>
              <w:rPr>
                <w:rFonts w:hint="eastAsia" w:ascii="楷体" w:hAnsi="楷体" w:eastAsia="楷体" w:cs="楷体"/>
                <w:strike w:val="0"/>
                <w:dstrike w:val="0"/>
                <w:color w:val="000000" w:themeColor="text1"/>
                <w:sz w:val="32"/>
                <w:szCs w:val="32"/>
                <w:lang w:val="en-US" w:eastAsia="zh-CN"/>
                <w14:textFill>
                  <w14:solidFill>
                    <w14:schemeClr w14:val="tx1"/>
                  </w14:solidFill>
                </w14:textFill>
              </w:rPr>
              <w:t>中硼硅药用玻璃包材项目</w:t>
            </w:r>
            <w:r>
              <w:rPr>
                <w:rFonts w:hint="eastAsia" w:ascii="楷体" w:hAnsi="楷体" w:eastAsia="楷体" w:cs="楷体"/>
                <w:color w:val="000000" w:themeColor="text1"/>
                <w:sz w:val="32"/>
                <w:szCs w:val="32"/>
                <w:lang w:val="en-US" w:eastAsia="zh-CN"/>
                <w14:textFill>
                  <w14:solidFill>
                    <w14:schemeClr w14:val="tx1"/>
                  </w14:solidFill>
                </w14:textFill>
              </w:rPr>
              <w:t>、高端生物医药研发制造项目、生物医药保税研发中心、海口湖大健康产业园项目。</w:t>
            </w:r>
          </w:p>
          <w:p w14:paraId="32940C91">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30" w:lineRule="exact"/>
              <w:ind w:firstLine="643" w:firstLineChars="200"/>
              <w:textAlignment w:val="auto"/>
              <w:rPr>
                <w:rFonts w:hint="default" w:ascii="楷体" w:hAnsi="楷体" w:eastAsia="楷体" w:cs="楷体"/>
                <w:color w:val="000000" w:themeColor="text1"/>
                <w:sz w:val="32"/>
                <w:szCs w:val="32"/>
                <w:lang w:val="en-US" w:eastAsia="zh-CN"/>
                <w14:textFill>
                  <w14:solidFill>
                    <w14:schemeClr w14:val="tx1"/>
                  </w14:solidFill>
                </w14:textFill>
              </w:rPr>
            </w:pPr>
            <w:r>
              <w:rPr>
                <w:rFonts w:hint="eastAsia" w:ascii="楷体" w:hAnsi="楷体" w:eastAsia="楷体" w:cs="楷体"/>
                <w:b/>
                <w:bCs/>
                <w:color w:val="000000" w:themeColor="text1"/>
                <w:sz w:val="32"/>
                <w:szCs w:val="32"/>
                <w:lang w:val="en-US" w:eastAsia="zh-CN"/>
                <w14:textFill>
                  <w14:solidFill>
                    <w14:schemeClr w14:val="tx1"/>
                  </w14:solidFill>
                </w14:textFill>
              </w:rPr>
              <w:t>保税加工产业：</w:t>
            </w:r>
            <w:r>
              <w:rPr>
                <w:rFonts w:hint="eastAsia" w:ascii="楷体" w:hAnsi="楷体" w:eastAsia="楷体" w:cs="楷体"/>
                <w:color w:val="000000" w:themeColor="text1"/>
                <w:sz w:val="32"/>
                <w:szCs w:val="32"/>
                <w:lang w:val="en-US" w:eastAsia="zh-CN"/>
                <w14:textFill>
                  <w14:solidFill>
                    <w14:schemeClr w14:val="tx1"/>
                  </w14:solidFill>
                </w14:textFill>
              </w:rPr>
              <w:t>综保区通讯设备保税维修、PCB及电子元器件保税制造基地、电子信息产业保税加工中心、新能源汽车零部件保税加工及分拨中心。</w:t>
            </w:r>
          </w:p>
        </w:tc>
      </w:tr>
    </w:tbl>
    <w:p w14:paraId="4B26FAA0">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5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0C798738">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jc w:val="center"/>
        <w:textAlignment w:val="auto"/>
        <w:outlineLvl w:val="0"/>
        <w:rPr>
          <w:rFonts w:hint="default" w:ascii="仿宋_GB2312" w:hAnsi="仿宋_GB2312" w:eastAsia="仿宋_GB2312" w:cs="仿宋_GB2312"/>
          <w:color w:val="000000" w:themeColor="text1"/>
          <w:szCs w:val="32"/>
          <w:lang w:val="en-US" w:eastAsia="zh-CN"/>
          <w14:textFill>
            <w14:solidFill>
              <w14:schemeClr w14:val="tx1"/>
            </w14:solidFill>
          </w14:textFill>
        </w:rPr>
      </w:pPr>
      <w:bookmarkStart w:id="154" w:name="_Toc21988"/>
      <w:bookmarkStart w:id="155" w:name="_Toc6536"/>
      <w:bookmarkStart w:id="156" w:name="_Toc23087"/>
      <w:bookmarkStart w:id="157" w:name="_Toc13560"/>
      <w:r>
        <w:rPr>
          <w:rFonts w:hint="eastAsia"/>
          <w:color w:val="000000" w:themeColor="text1"/>
          <w:lang w:val="en-US" w:eastAsia="zh-CN"/>
          <w14:textFill>
            <w14:solidFill>
              <w14:schemeClr w14:val="tx1"/>
            </w14:solidFill>
          </w14:textFill>
        </w:rPr>
        <w:t>第三节 强化科技创新工作</w:t>
      </w:r>
      <w:r>
        <w:rPr>
          <w:rFonts w:hint="default"/>
          <w:color w:val="000000" w:themeColor="text1"/>
          <w:lang w:val="en-US" w:eastAsia="zh-CN"/>
          <w14:textFill>
            <w14:solidFill>
              <w14:schemeClr w14:val="tx1"/>
            </w14:solidFill>
          </w14:textFill>
        </w:rPr>
        <w:t>​</w:t>
      </w:r>
      <w:bookmarkEnd w:id="154"/>
      <w:bookmarkEnd w:id="155"/>
      <w:bookmarkEnd w:id="156"/>
      <w:bookmarkEnd w:id="157"/>
    </w:p>
    <w:p w14:paraId="76A76245">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4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158" w:name="_Toc25486"/>
    </w:p>
    <w:p w14:paraId="4DADC8FD">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ascii="Segoe UI" w:hAnsi="Segoe UI" w:eastAsia="Segoe UI" w:cs="Segoe UI"/>
          <w:i w:val="0"/>
          <w:iCs w:val="0"/>
          <w:caps w:val="0"/>
          <w:color w:val="000000" w:themeColor="text1"/>
          <w:spacing w:val="0"/>
          <w:sz w:val="24"/>
          <w:szCs w:val="24"/>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研发投入赋能、梯度主体培育、创新载体构建、全链条服务完善为重点，打造适配临港产业的创新生态。“十五五”期间实现全社会研发经费投入年均增长15%，突破10项以上临港产业核心技术、5-8项实现产业化，建成长江中游临港产业科技创新高地。</w:t>
      </w:r>
    </w:p>
    <w:p w14:paraId="6084DD02">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一、强化研发投入精准赋能。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构建“龙头引领+中小扶持+协同放大”的研发投入体系，确保创新资金精准投向临港产业关键领域。引导园区龙头企业建立“营收比例挂钩”的常态化研发投入机制，明确将营收一定比例稳定投向绿色冶炼、高纯铜制备、智能港口装备等临港产业核心技术方向。深化“企业+高校+院所”协同攻关模式，聚焦“卡脖子”技术联合攻关，依托市级“产学研用”协同机制争取配套资金，“十五五”期间实现全社会研发经费投入年均增长15%。</w:t>
      </w:r>
    </w:p>
    <w:p w14:paraId="0C0C16BB">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二、培育梯度创新主体集群。</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实施“科技型中小企业—高新技术企业—专精特新企业”梯度培育计划，打造适配临港产业发展的创新主体梯队。为科技型中小企业提供“一站式”政策服务，对新入库企业给予奖励；引导高新技术企业健全研发体系与知识产权管理，落实认定辅导与税收优惠；鼓励“专精特新”企业聚焦临港细分领域深耕，支持申报省级专项扶持资金。持续深化与武汉都市圈的协同创新，积极融入光谷科创大走廊，依托黄石（武汉）离岸科创园等“离岸科创飞地”平台，主动承接武汉高校院所、科创企业创新资源，健全以“用”为导向的绩效评价机制，构建“研发在武汉、转化在新港”的协同创新格局，打造光谷科创大走廊东向科创产业带。完善成果转化收益分享机制，形成多层次、全覆盖的临港创新型产业集群。</w:t>
      </w:r>
    </w:p>
    <w:p w14:paraId="7AC6C3B9">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三、构建临港特色创新载体。</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海口湖科创岛为载体，构建“研发支撑+检测检验+成果转化”一体化创新服务体系。高标准建设重点产业中试平台、联合实验室等创新载体，引入第三方检测机构，配置精密仪器设备，提供专业化检测服务。设立创新孵化空间，培育未来产业领域初创企业，加速创新资源向产业动能转化。支持弘盛铜业、新港重科、新兴管业、宝钢等龙头企业聚焦超高纯铜制备、高纯生铁智能冶炼、黑灯工厂建设等需求，优化实验设施与研发团队，推动技术中心与产业链上下游企业建立协同研发机制，联合开展临港产业专用技术攻关，形成一批具备行业引领力的企业技术创新标杆。“十五五”期间力争突破10项以上临港产业技术并实现产业化。</w:t>
      </w:r>
    </w:p>
    <w:p w14:paraId="0E3072EF">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四、强化科技人才支撑。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围绕低碳冶金、智能港口装备、低空经济等关键领域，依托“东楚优才计划”定向引进高层次研发团队、产业领军人才及紧缺技能人才，建立“项目+人才”联动引才机制，实现“引进一个人才、带来一个团队、落地一个项目”。深化与高校院所战略合作，共建临港产业实训基地与人才联合培养平台，定向培育适配园区产业的技术骨干与研发人才，壮大本土人才梯队。升级人才服务保障，配套高品质住房、优质教育医疗资源及创新创业扶持政策。</w:t>
      </w:r>
    </w:p>
    <w:p w14:paraId="3D941620">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left="0" w:leftChars="0" w:firstLine="0" w:firstLineChars="0"/>
        <w:jc w:val="center"/>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专栏9：新港园区科技创新重点项目</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50442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185C328A">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楷体" w:hAnsi="楷体" w:eastAsia="楷体" w:cs="楷体"/>
                <w:color w:val="000000" w:themeColor="text1"/>
                <w:sz w:val="32"/>
                <w:szCs w:val="32"/>
                <w:lang w:val="en-US" w:eastAsia="zh-CN"/>
                <w14:textFill>
                  <w14:solidFill>
                    <w14:schemeClr w14:val="tx1"/>
                  </w14:solidFill>
                </w14:textFill>
              </w:rPr>
            </w:pPr>
            <w:r>
              <w:rPr>
                <w:rFonts w:hint="eastAsia" w:ascii="楷体" w:hAnsi="楷体" w:eastAsia="楷体" w:cs="楷体"/>
                <w:b w:val="0"/>
                <w:bCs w:val="0"/>
                <w:color w:val="000000" w:themeColor="text1"/>
                <w:sz w:val="32"/>
                <w:szCs w:val="32"/>
                <w:lang w:val="en-US" w:eastAsia="zh-CN"/>
                <w14:textFill>
                  <w14:solidFill>
                    <w14:schemeClr w14:val="tx1"/>
                  </w14:solidFill>
                </w14:textFill>
              </w:rPr>
              <w:t>弘盛铜业铜基新材料创新实验室项目、优科焦化实验中心、新港重科绿色富氢低碳冶金中试平台项目、新港重科高纯生铁智能冶炼及机器人关节制造项目。</w:t>
            </w:r>
          </w:p>
        </w:tc>
      </w:tr>
    </w:tbl>
    <w:p w14:paraId="3D3D6FFA">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jc w:val="center"/>
        <w:textAlignment w:val="auto"/>
        <w:outlineLvl w:val="0"/>
        <w:rPr>
          <w:rFonts w:hint="eastAsia"/>
          <w:color w:val="000000" w:themeColor="text1"/>
          <w:lang w:val="en-US" w:eastAsia="zh-CN"/>
          <w14:textFill>
            <w14:solidFill>
              <w14:schemeClr w14:val="tx1"/>
            </w14:solidFill>
          </w14:textFill>
        </w:rPr>
      </w:pPr>
      <w:bookmarkStart w:id="159" w:name="_Toc23596"/>
      <w:bookmarkStart w:id="160" w:name="_Toc427"/>
      <w:bookmarkStart w:id="161" w:name="_Toc155"/>
    </w:p>
    <w:p w14:paraId="782A93A2">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jc w:val="center"/>
        <w:textAlignment w:val="auto"/>
        <w:outlineLvl w:val="0"/>
        <w:rPr>
          <w:rFonts w:hint="eastAsia" w:ascii="楷体" w:hAnsi="楷体" w:eastAsia="楷体" w:cs="楷体"/>
          <w:color w:val="000000" w:themeColor="text1"/>
          <w:szCs w:val="32"/>
          <w14:textFill>
            <w14:solidFill>
              <w14:schemeClr w14:val="tx1"/>
            </w14:solidFill>
          </w14:textFill>
        </w:rPr>
      </w:pPr>
      <w:r>
        <w:rPr>
          <w:rFonts w:hint="eastAsia"/>
          <w:color w:val="000000" w:themeColor="text1"/>
          <w:lang w:val="en-US" w:eastAsia="zh-CN"/>
          <w14:textFill>
            <w14:solidFill>
              <w14:schemeClr w14:val="tx1"/>
            </w14:solidFill>
          </w14:textFill>
        </w:rPr>
        <w:t xml:space="preserve">第四节 </w:t>
      </w:r>
      <w:r>
        <w:rPr>
          <w:rFonts w:hint="eastAsia"/>
          <w:color w:val="000000" w:themeColor="text1"/>
          <w14:textFill>
            <w14:solidFill>
              <w14:schemeClr w14:val="tx1"/>
            </w14:solidFill>
          </w14:textFill>
        </w:rPr>
        <w:t>推进数</w:t>
      </w:r>
      <w:r>
        <w:rPr>
          <w:rFonts w:hint="eastAsia"/>
          <w:color w:val="000000" w:themeColor="text1"/>
          <w:lang w:val="en-US" w:eastAsia="zh-CN"/>
          <w14:textFill>
            <w14:solidFill>
              <w14:schemeClr w14:val="tx1"/>
            </w14:solidFill>
          </w14:textFill>
        </w:rPr>
        <w:t>智</w:t>
      </w:r>
      <w:r>
        <w:rPr>
          <w:rFonts w:hint="eastAsia"/>
          <w:color w:val="000000" w:themeColor="text1"/>
          <w14:textFill>
            <w14:solidFill>
              <w14:schemeClr w14:val="tx1"/>
            </w14:solidFill>
          </w14:textFill>
        </w:rPr>
        <w:t>化转型发展</w:t>
      </w:r>
      <w:bookmarkEnd w:id="158"/>
      <w:bookmarkEnd w:id="159"/>
      <w:bookmarkEnd w:id="160"/>
      <w:bookmarkEnd w:id="161"/>
    </w:p>
    <w:p w14:paraId="7DB4207F">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4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56406556">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7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数据要素赋能+人工智能驱动”为重点，推动数智技术与产业升级、城市治理、民生服务深度融合。到2030年，规上工业企业数智化改造全覆盖，主导产业关键工序智能率超90%，物流协同效率提升40%，跨境电商进出口额年均增长25%，90%以上政务服务事项实现智能办、掌上办。</w:t>
      </w:r>
    </w:p>
    <w:p w14:paraId="706CE627">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70" w:lineRule="exact"/>
        <w:ind w:firstLine="640" w:firstLineChars="200"/>
        <w:textAlignment w:val="auto"/>
        <w:rPr>
          <w:rFonts w:hint="default" w:ascii="仿宋_GB2312" w:hAnsi="仿宋_GB2312" w:eastAsia="仿宋_GB2312" w:cs="仿宋_GB2312"/>
          <w:color w:val="000000" w:themeColor="text1"/>
          <w:sz w:val="32"/>
          <w:szCs w:val="32"/>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一、</w:t>
      </w:r>
      <w:r>
        <w:rPr>
          <w:rStyle w:val="21"/>
          <w:rFonts w:hint="default" w:ascii="黑体" w:hAnsi="黑体" w:eastAsia="黑体" w:cs="黑体"/>
          <w:b w:val="0"/>
          <w:bCs w:val="0"/>
          <w:color w:val="000000" w:themeColor="text1"/>
          <w:sz w:val="32"/>
          <w:szCs w:val="32"/>
          <w:lang w:val="en-US" w:eastAsia="zh-CN"/>
          <w14:textFill>
            <w14:solidFill>
              <w14:schemeClr w14:val="tx1"/>
            </w14:solidFill>
          </w14:textFill>
        </w:rPr>
        <w:t>筑牢数智基础设施底座</w:t>
      </w: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14:textFill>
            <w14:solidFill>
              <w14:schemeClr w14:val="tx1"/>
            </w14:solidFill>
          </w14:textFill>
        </w:rPr>
        <w:t xml:space="preserve"> 持续深化5G网络覆盖，重点强化港口作业区、产业片区等核心区域的5G-A网络部署；实施“标识贯通”行动，在冶金、铸造等重点行业打造标识应用标杆场景。推动企业内网升级，实现园区规上工业企业内网改造全覆盖。搭建跨领域数据共享交换平台，整合产业、港口、政务、交通等多源数据，建立分类分级与安全流通机制，部署隐私计算、数据沙箱等技术，筑牢安全防线。​</w:t>
      </w:r>
    </w:p>
    <w:p w14:paraId="266D13CB">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70" w:lineRule="exact"/>
        <w:ind w:firstLine="640" w:firstLineChars="200"/>
        <w:textAlignment w:val="auto"/>
        <w:rPr>
          <w:rFonts w:hint="default" w:ascii="仿宋_GB2312" w:hAnsi="仿宋_GB2312" w:eastAsia="仿宋_GB2312" w:cs="仿宋_GB2312"/>
          <w:color w:val="000000" w:themeColor="text1"/>
          <w:sz w:val="32"/>
          <w:szCs w:val="32"/>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二、</w:t>
      </w:r>
      <w:r>
        <w:rPr>
          <w:rStyle w:val="21"/>
          <w:rFonts w:hint="default" w:ascii="黑体" w:hAnsi="黑体" w:eastAsia="黑体" w:cs="黑体"/>
          <w:b w:val="0"/>
          <w:bCs w:val="0"/>
          <w:color w:val="000000" w:themeColor="text1"/>
          <w:sz w:val="32"/>
          <w:szCs w:val="32"/>
          <w:lang w:val="en-US" w:eastAsia="zh-CN"/>
          <w14:textFill>
            <w14:solidFill>
              <w14:schemeClr w14:val="tx1"/>
            </w14:solidFill>
          </w14:textFill>
        </w:rPr>
        <w:t>推动主导产业数智赋能</w:t>
      </w: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14:textFill>
            <w14:solidFill>
              <w14:schemeClr w14:val="tx1"/>
            </w14:solidFill>
          </w14:textFill>
        </w:rPr>
        <w:t>以“人工智能+产业”为主线，引导园区企业开展“智改数转网联”，培育行业垂直模型。支持弘盛铜业在现有“卓越级”智能工厂基础上，深化数字孪生技术应用，构建覆盖火法—湿法全流程的虚拟工厂，实现生产参数实时优化与故障预警。依托多式联运数据平台，整合“铁水公空管”运输资源，通过智能算法优化路线规划与运力匹配；推进港口作业数智化改造，实现货物装卸、堆存、转运全流程智能协同；探索跨境数据流通试点，赋能跨境电商全链条数智化运营。</w:t>
      </w:r>
    </w:p>
    <w:p w14:paraId="007AA9D8">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162" w:name="_Toc18839"/>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三、拓展多场景数智应用。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构建“城市大脑”综合管理平台，整合交通、环保、应急、城管等数据资源，实现交通路况智能调控、污染物排放动态预警、城市设施智能运维；深化“一网通办”“一网统管”融合，高频事项“无感申办”。推进智慧教育、智慧医疗等场景落地，推广数字校园、在线教学等资源共享模式，构建远程诊疗、智能分诊等医疗服务体系。部署物联网感知设备，搭建农产品数智化溯源平台，贯通“生产—加工—流通”全链条数据。</w:t>
      </w:r>
    </w:p>
    <w:p w14:paraId="1688C7F0">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80" w:lineRule="exact"/>
        <w:ind w:left="0" w:leftChars="0" w:firstLine="0" w:firstLineChars="0"/>
        <w:jc w:val="center"/>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专栏10：新港园区数智化重点项目</w:t>
      </w:r>
    </w:p>
    <w:tbl>
      <w:tblPr>
        <w:tblStyle w:val="11"/>
        <w:tblW w:w="0" w:type="auto"/>
        <w:tblInd w:w="1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75"/>
      </w:tblGrid>
      <w:tr w14:paraId="337B1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5" w:type="dxa"/>
          </w:tcPr>
          <w:p w14:paraId="7F866B53">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楷体" w:hAnsi="楷体" w:eastAsia="楷体" w:cs="楷体"/>
                <w:color w:val="000000" w:themeColor="text1"/>
                <w:sz w:val="32"/>
                <w:szCs w:val="32"/>
                <w:lang w:val="en-US" w:eastAsia="zh-CN"/>
                <w14:textFill>
                  <w14:solidFill>
                    <w14:schemeClr w14:val="tx1"/>
                  </w14:solidFill>
                </w14:textFill>
              </w:rPr>
            </w:pPr>
            <w:r>
              <w:rPr>
                <w:rFonts w:hint="eastAsia" w:ascii="楷体" w:hAnsi="楷体" w:eastAsia="楷体" w:cs="楷体"/>
                <w:b w:val="0"/>
                <w:bCs w:val="0"/>
                <w:color w:val="000000" w:themeColor="text1"/>
                <w:sz w:val="32"/>
                <w:szCs w:val="32"/>
                <w:lang w:val="en-US" w:eastAsia="zh-CN"/>
                <w14:textFill>
                  <w14:solidFill>
                    <w14:schemeClr w14:val="tx1"/>
                  </w14:solidFill>
                </w14:textFill>
              </w:rPr>
              <w:t>弘盛铜业黑灯工厂、新兴管业智能化信息平台项目、华新水泥智能化改造项目、长江中游物流数据开放互联平台、智慧物</w:t>
            </w:r>
            <w:r>
              <w:rPr>
                <w:rFonts w:hint="eastAsia" w:ascii="楷体" w:hAnsi="楷体" w:eastAsia="楷体" w:cs="楷体"/>
                <w:b w:val="0"/>
                <w:bCs w:val="0"/>
                <w:color w:val="000000" w:themeColor="text1"/>
                <w:spacing w:val="6"/>
                <w:sz w:val="32"/>
                <w:szCs w:val="32"/>
                <w:lang w:val="en-US" w:eastAsia="zh-CN"/>
                <w14:textFill>
                  <w14:solidFill>
                    <w14:schemeClr w14:val="tx1"/>
                  </w14:solidFill>
                </w14:textFill>
              </w:rPr>
              <w:t>流与供应链研发平台、虚拟园区项目、综保区智能化系统</w:t>
            </w:r>
            <w:r>
              <w:rPr>
                <w:rFonts w:hint="eastAsia" w:ascii="楷体" w:hAnsi="楷体" w:eastAsia="楷体" w:cs="楷体"/>
                <w:b w:val="0"/>
                <w:bCs w:val="0"/>
                <w:color w:val="000000" w:themeColor="text1"/>
                <w:sz w:val="32"/>
                <w:szCs w:val="32"/>
                <w:lang w:val="en-US" w:eastAsia="zh-CN"/>
                <w14:textFill>
                  <w14:solidFill>
                    <w14:schemeClr w14:val="tx1"/>
                  </w14:solidFill>
                </w14:textFill>
              </w:rPr>
              <w:t>项目。</w:t>
            </w:r>
          </w:p>
        </w:tc>
      </w:tr>
    </w:tbl>
    <w:p w14:paraId="3FFF706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color w:val="000000" w:themeColor="text1"/>
          <w:kern w:val="0"/>
          <w:sz w:val="36"/>
          <w:szCs w:val="36"/>
          <w:lang w:val="en-US" w:eastAsia="zh-CN" w:bidi="ar"/>
          <w14:textFill>
            <w14:solidFill>
              <w14:schemeClr w14:val="tx1"/>
            </w14:solidFill>
          </w14:textFill>
        </w:rPr>
      </w:pPr>
      <w:bookmarkStart w:id="163" w:name="_Toc16612"/>
      <w:bookmarkStart w:id="164" w:name="_Toc14513"/>
      <w:r>
        <w:rPr>
          <w:rFonts w:hint="eastAsia" w:ascii="宋体" w:hAnsi="宋体" w:eastAsia="宋体" w:cs="宋体"/>
          <w:b/>
          <w:bCs/>
          <w:color w:val="000000" w:themeColor="text1"/>
          <w:kern w:val="0"/>
          <w:sz w:val="36"/>
          <w:szCs w:val="36"/>
          <w:lang w:val="en-US" w:eastAsia="zh-CN" w:bidi="ar"/>
          <w14:textFill>
            <w14:solidFill>
              <w14:schemeClr w14:val="tx1"/>
            </w14:solidFill>
          </w14:textFill>
        </w:rPr>
        <w:t>第五节 培育城市经济新动能</w:t>
      </w:r>
    </w:p>
    <w:p w14:paraId="2F39AAF9">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157DCE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立足园区港产城深度融合发展方向，完善城市功能、激发城市活力、提升综合承载能力，培育壮大与现代化港口新城定位相匹配的城市经济新业态，推动临港产业与城市经济深度互促、协同共进。</w:t>
      </w:r>
    </w:p>
    <w:p w14:paraId="3FCB8F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一、发展总部经济与楼宇经济</w:t>
      </w:r>
      <w:r>
        <w:rPr>
          <w:rFonts w:hint="eastAsia" w:ascii="黑体" w:hAnsi="黑体" w:eastAsia="黑体" w:cs="黑体"/>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依托港口开放、综保区政策及临港产业集群优势，引进物流贸易、临港制造、跨境电商、供应链服务等领域区域总部、功能总部、结算中心、运营中心，推动楼宇经济、商务经济集聚成势，打造区域性临港经济商务高地。</w:t>
      </w:r>
    </w:p>
    <w:p w14:paraId="744247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二、壮大口岸配套服务</w:t>
      </w:r>
      <w:r>
        <w:rPr>
          <w:rFonts w:hint="eastAsia" w:ascii="黑体" w:hAnsi="黑体" w:eastAsia="黑体" w:cs="黑体"/>
          <w:color w:val="000000" w:themeColor="text1"/>
          <w:sz w:val="32"/>
          <w:szCs w:val="32"/>
          <w:lang w:val="en-US" w:eastAsia="zh-CN"/>
          <w14:textFill>
            <w14:solidFill>
              <w14:schemeClr w14:val="tx1"/>
            </w14:solidFill>
          </w14:textFill>
        </w:rPr>
        <w:t>功能</w:t>
      </w:r>
      <w:r>
        <w:rPr>
          <w:rFonts w:hint="eastAsia" w:ascii="黑体" w:hAnsi="黑体" w:eastAsia="黑体" w:cs="黑体"/>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大力发展港口商贸、大宗商品交易、跨境电商配套、多式联运服务等重点业态。完善口岸综合服务功能，做强报关报检、货代物流、仓储配送、供应链金融等专业服务，推动商贸流通与港口运营、产业发展深度联动。优化商业网点布局，构建与港口新城相适应的现代商贸体系。</w:t>
      </w:r>
    </w:p>
    <w:p w14:paraId="0CDCAC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三、培育</w:t>
      </w:r>
      <w:r>
        <w:rPr>
          <w:rFonts w:hint="eastAsia" w:ascii="黑体" w:hAnsi="黑体" w:eastAsia="黑体" w:cs="黑体"/>
          <w:color w:val="000000" w:themeColor="text1"/>
          <w:sz w:val="32"/>
          <w:szCs w:val="32"/>
          <w:lang w:val="en-US" w:eastAsia="zh-CN"/>
          <w14:textFill>
            <w14:solidFill>
              <w14:schemeClr w14:val="tx1"/>
            </w14:solidFill>
          </w14:textFill>
        </w:rPr>
        <w:t>休闲</w:t>
      </w:r>
      <w:r>
        <w:rPr>
          <w:rFonts w:hint="eastAsia" w:ascii="黑体" w:hAnsi="黑体" w:eastAsia="黑体" w:cs="黑体"/>
          <w:color w:val="000000" w:themeColor="text1"/>
          <w:sz w:val="32"/>
          <w:szCs w:val="32"/>
          <w14:textFill>
            <w14:solidFill>
              <w14:schemeClr w14:val="tx1"/>
            </w14:solidFill>
          </w14:textFill>
        </w:rPr>
        <w:t>服务新业态</w:t>
      </w:r>
      <w:r>
        <w:rPr>
          <w:rFonts w:hint="eastAsia" w:ascii="黑体" w:hAnsi="黑体" w:eastAsia="黑体" w:cs="黑体"/>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依托滨江临湖、港城交融、生态宜居的资源禀赋，深度融合港口文化、临港工业与乡村生态资源，大力发展港口观光、临港研学、生态休闲、滨湖康养等文旅康养业态。打造港城特色消费场景，提升城市宜居度、吸引力与辨识度。</w:t>
      </w:r>
    </w:p>
    <w:p w14:paraId="3D3E2B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四、做强做优高端生产性服务业</w:t>
      </w:r>
      <w:r>
        <w:rPr>
          <w:rFonts w:hint="eastAsia" w:ascii="黑体" w:hAnsi="黑体" w:eastAsia="黑体" w:cs="黑体"/>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聚焦金融服务、现代物流、商务服务、科技服务、软件和信息服务业五大领域，重点发展研发设计、检验检测、节能降碳、法律咨询、会展交易、品牌运营等业态，推动生产性服务业向专业化、高端化、价值链高端延伸。围绕</w:t>
      </w:r>
      <w:r>
        <w:rPr>
          <w:rFonts w:hint="eastAsia" w:ascii="仿宋_GB2312" w:hAnsi="仿宋_GB2312" w:eastAsia="仿宋_GB2312" w:cs="仿宋_GB2312"/>
          <w:color w:val="000000" w:themeColor="text1"/>
          <w:sz w:val="32"/>
          <w:szCs w:val="32"/>
          <w:lang w:eastAsia="zh-CN"/>
          <w14:textFill>
            <w14:solidFill>
              <w14:schemeClr w14:val="tx1"/>
            </w14:solidFill>
          </w14:textFill>
        </w:rPr>
        <w:t>低碳冶金</w:t>
      </w:r>
      <w:r>
        <w:rPr>
          <w:rFonts w:hint="eastAsia" w:ascii="仿宋_GB2312" w:hAnsi="仿宋_GB2312" w:eastAsia="仿宋_GB2312" w:cs="仿宋_GB2312"/>
          <w:color w:val="000000" w:themeColor="text1"/>
          <w:sz w:val="32"/>
          <w:szCs w:val="32"/>
          <w14:textFill>
            <w14:solidFill>
              <w14:schemeClr w14:val="tx1"/>
            </w14:solidFill>
          </w14:textFill>
        </w:rPr>
        <w:t>、粮食加工等主导产业，支持龙头企业剥离研发设计、物流仓储、检验检测等环节，组建专业化服务平台，面向产业链上下游提供一站式服务，推动生产性服务业深度嵌入制造业全链条。</w:t>
      </w:r>
    </w:p>
    <w:p w14:paraId="77D7EC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五、</w:t>
      </w:r>
      <w:r>
        <w:rPr>
          <w:rFonts w:hint="eastAsia" w:ascii="黑体" w:hAnsi="黑体" w:eastAsia="黑体" w:cs="黑体"/>
          <w:color w:val="000000" w:themeColor="text1"/>
          <w:sz w:val="32"/>
          <w:szCs w:val="32"/>
          <w14:textFill>
            <w14:solidFill>
              <w14:schemeClr w14:val="tx1"/>
            </w14:solidFill>
          </w14:textFill>
        </w:rPr>
        <w:t>深化“两业融合”发展模式。</w:t>
      </w:r>
      <w:r>
        <w:rPr>
          <w:rFonts w:hint="eastAsia" w:ascii="仿宋_GB2312" w:hAnsi="仿宋_GB2312" w:eastAsia="仿宋_GB2312" w:cs="仿宋_GB2312"/>
          <w:color w:val="000000" w:themeColor="text1"/>
          <w:sz w:val="32"/>
          <w:szCs w:val="32"/>
          <w14:textFill>
            <w14:solidFill>
              <w14:schemeClr w14:val="tx1"/>
            </w14:solidFill>
          </w14:textFill>
        </w:rPr>
        <w:t>依托港口大宗商品集散优势和综保区政策，以贯通“储运—加工—贸易—交易—金融”全链条为主线，推动园区从“通道过境”向“价值枢纽”转型。向上游延伸保税仓储、期货交割、供应链金融，向下游拓展精深加工、品牌贸易、交易结算，形成“储运降本—加工增值—贸易扩量—交易定价—金融赋能”闭环价值链。重点发展大宗商品线上交易平台、供应链管理服务、智能仓储物流、保税维修再制造、融资租赁等融合型新业态，推动制造企业向“制造+服务”转型。到2030年，培育3—5家两业融合示范企业，建成2个以上省级两业融合试点园区。</w:t>
      </w:r>
    </w:p>
    <w:p w14:paraId="7A100E53">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jc w:val="center"/>
        <w:textAlignment w:val="auto"/>
        <w:outlineLvl w:val="0"/>
        <w:rPr>
          <w:rFonts w:hint="eastAsia"/>
          <w:color w:val="000000" w:themeColor="text1"/>
          <w14:textFill>
            <w14:solidFill>
              <w14:schemeClr w14:val="tx1"/>
            </w14:solidFill>
          </w14:textFill>
        </w:rPr>
      </w:pPr>
    </w:p>
    <w:p w14:paraId="5BFB1E37">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jc w:val="center"/>
        <w:textAlignment w:val="auto"/>
        <w:outlineLvl w:val="0"/>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第</w:t>
      </w:r>
      <w:r>
        <w:rPr>
          <w:rFonts w:hint="eastAsia"/>
          <w:color w:val="000000" w:themeColor="text1"/>
          <w:lang w:val="en-US" w:eastAsia="zh-CN"/>
          <w14:textFill>
            <w14:solidFill>
              <w14:schemeClr w14:val="tx1"/>
            </w14:solidFill>
          </w14:textFill>
        </w:rPr>
        <w:t>六</w:t>
      </w:r>
      <w:r>
        <w:rPr>
          <w:rFonts w:hint="eastAsia"/>
          <w:color w:val="000000" w:themeColor="text1"/>
          <w14:textFill>
            <w14:solidFill>
              <w14:schemeClr w14:val="tx1"/>
            </w14:solidFill>
          </w14:textFill>
        </w:rPr>
        <w:t>节</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完善产业配套</w:t>
      </w:r>
      <w:bookmarkEnd w:id="162"/>
      <w:r>
        <w:rPr>
          <w:rFonts w:hint="eastAsia"/>
          <w:color w:val="000000" w:themeColor="text1"/>
          <w:lang w:val="en-US" w:eastAsia="zh-CN"/>
          <w14:textFill>
            <w14:solidFill>
              <w14:schemeClr w14:val="tx1"/>
            </w14:solidFill>
          </w14:textFill>
        </w:rPr>
        <w:t>服务功能</w:t>
      </w:r>
      <w:bookmarkEnd w:id="163"/>
      <w:bookmarkEnd w:id="164"/>
    </w:p>
    <w:p w14:paraId="59AF163C">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400" w:lineRule="exact"/>
        <w:ind w:firstLine="640" w:firstLineChars="200"/>
        <w:textAlignment w:val="auto"/>
        <w:rPr>
          <w:rFonts w:hint="default" w:ascii="仿宋_GB2312" w:hAnsi="仿宋_GB2312" w:eastAsia="仿宋_GB2312" w:cs="仿宋_GB2312"/>
          <w:color w:val="000000" w:themeColor="text1"/>
          <w:sz w:val="32"/>
          <w:szCs w:val="32"/>
          <w14:textFill>
            <w14:solidFill>
              <w14:schemeClr w14:val="tx1"/>
            </w14:solidFill>
          </w14:textFill>
        </w:rPr>
      </w:pPr>
    </w:p>
    <w:p w14:paraId="31BD9FD5">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紧扣产业发展与民生需求双导向，全面升级产业融合水平、生活服务品质与城市居住供给，为临港产业高质量发展与港产城深度融合筑牢坚实支撑。</w:t>
      </w:r>
    </w:p>
    <w:p w14:paraId="3CC83C57">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一、优化投资结构。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坚持“政府投资引领、民间投资补位”，积极争取国债、专项债、政策性资金等资源倾斜；建立“前期精准论证、中期闭环推进、后期绩效考评”项目管理机制，聚焦基础设施、公共服务、产业生态集中发力。引导社会资本深度切入主导产业配套、绿色低碳转型、港口物流增值服务等领域。</w:t>
      </w:r>
    </w:p>
    <w:p w14:paraId="349F106B">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二、持续扩大内需活力。</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优化核心商圈与“15分钟社区生活圈”商业布局，在重点项目周边配套“住、食、医、教、娱”等设施，建设集餐饮、便利店、商超于一体的邻里中心；深化“港产文旅”融合，打造乡村休闲、康养旅居、港口体验等消费场景。完善托育托管、健身康养、文化驿站等便民服务设施。</w:t>
      </w:r>
    </w:p>
    <w:p w14:paraId="23F83473">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三、开发新型房地产产业。</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在产业核心区布局定制化厂房、标准化工业载体及配套宿舍，提供“生产+办公+住宿”一体化空间；在海口湖片区、韦源镇打造高品质人才公寓，配套子女入学、通勤专线、社区服务中心等，布局会议中心、商务接待场所、企业服务中心；提升韦源口镇生产性配套住房和高端住房供给，激发房地产市场活力；依托金海白茶生态禀赋、海口湖生态基底，开发高端康养社区与旅居地产，促进人口集聚与产业升级协同共进。</w:t>
      </w:r>
    </w:p>
    <w:p w14:paraId="37AEB0B3">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421A3D69">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5BA087E7">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2F289DFD">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33863043">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4EE2DBBC">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33ADBC86">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6D2EEA2D">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544E65C5">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3B257A83">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jc w:val="center"/>
        <w:textAlignment w:val="auto"/>
        <w:outlineLvl w:val="0"/>
        <w:rPr>
          <w:rFonts w:hint="eastAsia" w:ascii="微软雅黑" w:hAnsi="微软雅黑" w:eastAsia="微软雅黑" w:cs="微软雅黑"/>
          <w:b w:val="0"/>
          <w:bCs/>
          <w:color w:val="000000" w:themeColor="text1"/>
          <w:sz w:val="44"/>
          <w:szCs w:val="44"/>
          <w:lang w:val="en-US" w:eastAsia="zh-CN"/>
          <w14:textFill>
            <w14:solidFill>
              <w14:schemeClr w14:val="tx1"/>
            </w14:solidFill>
          </w14:textFill>
        </w:rPr>
      </w:pPr>
      <w:bookmarkStart w:id="165" w:name="_Toc15980"/>
      <w:bookmarkStart w:id="166" w:name="_Toc27647"/>
      <w:r>
        <w:rPr>
          <w:rFonts w:hint="eastAsia" w:ascii="微软雅黑" w:hAnsi="微软雅黑" w:eastAsia="微软雅黑" w:cs="微软雅黑"/>
          <w:b w:val="0"/>
          <w:bCs/>
          <w:color w:val="000000" w:themeColor="text1"/>
          <w:sz w:val="44"/>
          <w:szCs w:val="44"/>
          <w:lang w:val="en-US" w:eastAsia="zh-CN"/>
          <w14:textFill>
            <w14:solidFill>
              <w14:schemeClr w14:val="tx1"/>
            </w14:solidFill>
          </w14:textFill>
        </w:rPr>
        <w:t>第六章 加快建成绿色港</w:t>
      </w:r>
      <w:bookmarkEnd w:id="165"/>
      <w:bookmarkEnd w:id="166"/>
    </w:p>
    <w:p w14:paraId="2E61519E">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jc w:val="center"/>
        <w:textAlignment w:val="auto"/>
        <w:outlineLvl w:val="0"/>
        <w:rPr>
          <w:rFonts w:hint="eastAsia" w:ascii="微软雅黑" w:hAnsi="微软雅黑" w:eastAsia="微软雅黑" w:cs="微软雅黑"/>
          <w:b w:val="0"/>
          <w:bCs/>
          <w:color w:val="000000" w:themeColor="text1"/>
          <w:sz w:val="44"/>
          <w:szCs w:val="44"/>
          <w:lang w:val="en-US" w:eastAsia="zh-CN"/>
          <w14:textFill>
            <w14:solidFill>
              <w14:schemeClr w14:val="tx1"/>
            </w14:solidFill>
          </w14:textFill>
        </w:rPr>
      </w:pPr>
      <w:r>
        <w:rPr>
          <w:rFonts w:hint="eastAsia" w:ascii="微软雅黑" w:hAnsi="微软雅黑" w:eastAsia="微软雅黑" w:cs="微软雅黑"/>
          <w:b w:val="0"/>
          <w:bCs/>
          <w:color w:val="000000" w:themeColor="text1"/>
          <w:sz w:val="44"/>
          <w:szCs w:val="44"/>
          <w:lang w:val="en-US" w:eastAsia="zh-CN"/>
          <w14:textFill>
            <w14:solidFill>
              <w14:schemeClr w14:val="tx1"/>
            </w14:solidFill>
          </w14:textFill>
        </w:rPr>
        <w:t>构建绿色低碳发展新格局</w:t>
      </w:r>
    </w:p>
    <w:p w14:paraId="2069B923">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4E03C58B">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生态保护与绿色转型为双轮驱动，紧扣减污降碳协同增效、资源循环高效利用、生态功能持续提升主攻方向，统筹推进长江生态屏障筑牢、全域环境质量提升、产业绿色低碳升级、低碳体系多元构建，构建“全链条污染防控、多层次生态保护、全领域低碳发展”的绿色生态体系，争创国家级零碳示范园区。</w:t>
      </w:r>
    </w:p>
    <w:p w14:paraId="61BE41EB">
      <w:pPr>
        <w:keepNext w:val="0"/>
        <w:keepLines w:val="0"/>
        <w:pageBreakBefore w:val="0"/>
        <w:widowControl w:val="0"/>
        <w:tabs>
          <w:tab w:val="right" w:leader="dot" w:pos="6300"/>
        </w:tabs>
        <w:kinsoku/>
        <w:wordWrap/>
        <w:overflowPunct/>
        <w:topLinePunct w:val="0"/>
        <w:autoSpaceDE/>
        <w:autoSpaceDN/>
        <w:bidi w:val="0"/>
        <w:adjustRightInd/>
        <w:snapToGrid/>
        <w:spacing w:line="4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167" w:name="_Toc5335"/>
    </w:p>
    <w:p w14:paraId="245B5D72">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jc w:val="center"/>
        <w:textAlignment w:val="auto"/>
        <w:outlineLvl w:val="0"/>
        <w:rPr>
          <w:rFonts w:hint="eastAsia"/>
          <w:color w:val="000000" w:themeColor="text1"/>
          <w14:textFill>
            <w14:solidFill>
              <w14:schemeClr w14:val="tx1"/>
            </w14:solidFill>
          </w14:textFill>
        </w:rPr>
      </w:pPr>
      <w:bookmarkStart w:id="168" w:name="_Toc23141"/>
      <w:bookmarkStart w:id="169" w:name="_Toc11201"/>
      <w:r>
        <w:rPr>
          <w:rFonts w:hint="eastAsia"/>
          <w:color w:val="000000" w:themeColor="text1"/>
          <w:lang w:val="en-US" w:eastAsia="zh-CN"/>
          <w14:textFill>
            <w14:solidFill>
              <w14:schemeClr w14:val="tx1"/>
            </w14:solidFill>
          </w14:textFill>
        </w:rPr>
        <w:t xml:space="preserve">第一节 </w:t>
      </w:r>
      <w:r>
        <w:rPr>
          <w:rFonts w:hint="eastAsia"/>
          <w:color w:val="000000" w:themeColor="text1"/>
          <w14:textFill>
            <w14:solidFill>
              <w14:schemeClr w14:val="tx1"/>
            </w14:solidFill>
          </w14:textFill>
        </w:rPr>
        <w:t>筑牢长江生态屏障</w:t>
      </w:r>
      <w:bookmarkEnd w:id="167"/>
      <w:bookmarkEnd w:id="168"/>
      <w:bookmarkEnd w:id="169"/>
    </w:p>
    <w:p w14:paraId="301B8BC5">
      <w:pPr>
        <w:keepNext w:val="0"/>
        <w:keepLines w:val="0"/>
        <w:pageBreakBefore w:val="0"/>
        <w:widowControl w:val="0"/>
        <w:tabs>
          <w:tab w:val="right" w:leader="dot" w:pos="6300"/>
        </w:tabs>
        <w:kinsoku/>
        <w:wordWrap/>
        <w:overflowPunct/>
        <w:topLinePunct w:val="0"/>
        <w:autoSpaceDE/>
        <w:autoSpaceDN/>
        <w:bidi w:val="0"/>
        <w:adjustRightInd/>
        <w:snapToGrid/>
        <w:spacing w:line="4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449F01DF">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统筹推进水环境治理、水安全保障、生态修复协同发展。到2030年，大冶湖闸国控断面水质稳定达到Ⅱ类标准，水资源利用效率提升20%、工业用水重复利用率超90%，森林覆盖率提升至15%，湿地保护率达50%。</w:t>
      </w:r>
    </w:p>
    <w:p w14:paraId="15A189F6">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一、深化水污染治理。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推进新港污水处理厂尾水深度处理及利用工程，新建管道将尾水输送至工业水厂，经处理后供工业复用，年利用量达500万吨以上，尾水排放优于一级A标准。持续深化长江入河排污口整治，对71个已整改排污口建立“一口一档”动态管理机制，安装智能化监测设备实现实时监控，严厉打击违法排污行为。实施春湖、海口湖、中湖等湖泊综合治理工程，开展260万立方米湖泊生态清淤、水生植被恢复、生态岸线建设及雨污分流管网完善等项目，构建“湖泊—支流—长江”贯通的水生态廊道。推进长江黄石新港段农村生活污水处理工程，对13个行政村开展污水治理，拦截处理农村生活污水与养殖废水，避免直排沟渠、河流。</w:t>
      </w:r>
    </w:p>
    <w:p w14:paraId="0AB7483B">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二、提升水安全保障。</w:t>
      </w:r>
      <w:r>
        <w:rPr>
          <w:rFonts w:hint="eastAsia" w:ascii="仿宋_GB2312" w:hAnsi="仿宋_GB2312" w:eastAsia="仿宋_GB2312" w:cs="仿宋_GB2312"/>
          <w:color w:val="000000" w:themeColor="text1"/>
          <w:sz w:val="32"/>
          <w:szCs w:val="32"/>
          <w14:textFill>
            <w14:solidFill>
              <w14:schemeClr w14:val="tx1"/>
            </w14:solidFill>
          </w14:textFill>
        </w:rPr>
        <w:t>推广农业滴灌、喷灌及工业循环用水技术；加快推进海口湖二站新建、大冶湖片区排涝等工程，全面排查加固长江堤防，实施海口湖及连通港综合治理，构建互联互通水网。严格落实“三线一单”，完善应急管理体系，推进区域环境风险联防联控。到2030年，长江沿岸及周边湖泊排涝能力提升40%，堤防安全保障能力达到国家防洪标准；水资源调配能力显著增强，形成“丰枯互济、多源互补”供水格局；环境风险预警响应时间缩短至1小时内。</w:t>
      </w:r>
    </w:p>
    <w:p w14:paraId="76E8BA71">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三、加强生态修复。</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推进长江岸线生态修复工程，完成300亩以上岸线复绿，打造集生态防护、休闲观光于一体的长江岸线。实施历史遗留废弃矿山生态修复与采煤沉陷区综合治理，推广“生态修复+光伏”模式，治理矿山面积不低于100公顷、采煤沉陷区50公顷；推进园区煤矿采煤沉陷区生态修复治理项目，对红家咀、丰阳等井田实施综合治理。依托“一江两湖多廊”生态格局，推进大冶湖—海口湖生态圈建设，实施退垸还湖、水系连通工程，恢复湖泊生态功能与调蓄能力；保护干鱼山、枪弹山等山体生态廊道，建设生态绿楔连通长江与内湖生态网络。推进长江沿线防护林、农田林网、金海林山建设，构建“江畅、湖清、岸绿、山秀”的生态安全体系。</w:t>
      </w:r>
    </w:p>
    <w:p w14:paraId="5A0410D0">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left="0" w:leftChars="0" w:firstLine="0" w:firstLineChars="0"/>
        <w:jc w:val="center"/>
        <w:textAlignment w:val="auto"/>
        <w:rPr>
          <w:rFonts w:hint="eastAsia" w:ascii="黑体" w:hAnsi="黑体" w:eastAsia="黑体" w:cs="黑体"/>
          <w:color w:val="000000" w:themeColor="text1"/>
          <w:sz w:val="32"/>
          <w:szCs w:val="32"/>
          <w:lang w:val="en-US" w:eastAsia="zh-CN"/>
          <w14:textFill>
            <w14:solidFill>
              <w14:schemeClr w14:val="tx1"/>
            </w14:solidFill>
          </w14:textFill>
        </w:rPr>
      </w:pPr>
      <w:bookmarkStart w:id="170" w:name="_Toc9827"/>
    </w:p>
    <w:p w14:paraId="457600E6">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left="0" w:leftChars="0" w:firstLine="0" w:firstLineChars="0"/>
        <w:jc w:val="center"/>
        <w:textAlignment w:val="auto"/>
        <w:rPr>
          <w:rFonts w:hint="eastAsia" w:ascii="黑体" w:hAnsi="黑体" w:eastAsia="黑体" w:cs="黑体"/>
          <w:color w:val="000000" w:themeColor="text1"/>
          <w:sz w:val="32"/>
          <w:szCs w:val="32"/>
          <w:lang w:val="en-US" w:eastAsia="zh-CN"/>
          <w14:textFill>
            <w14:solidFill>
              <w14:schemeClr w14:val="tx1"/>
            </w14:solidFill>
          </w14:textFill>
        </w:rPr>
      </w:pPr>
    </w:p>
    <w:p w14:paraId="191CDCD0">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left="0" w:leftChars="0" w:firstLine="0" w:firstLineChars="0"/>
        <w:jc w:val="center"/>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专栏11：新港园区生态治理重点工程</w:t>
      </w:r>
    </w:p>
    <w:tbl>
      <w:tblPr>
        <w:tblStyle w:val="11"/>
        <w:tblW w:w="0" w:type="auto"/>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5"/>
      </w:tblGrid>
      <w:tr w14:paraId="692F5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35" w:type="dxa"/>
          </w:tcPr>
          <w:p w14:paraId="6B9A41FC">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楷体" w:hAnsi="楷体" w:eastAsia="楷体" w:cs="楷体"/>
                <w:b w:val="0"/>
                <w:bCs w:val="0"/>
                <w:color w:val="000000" w:themeColor="text1"/>
                <w:sz w:val="32"/>
                <w:szCs w:val="32"/>
                <w:lang w:val="en-US" w:eastAsia="zh-CN"/>
                <w14:textFill>
                  <w14:solidFill>
                    <w14:schemeClr w14:val="tx1"/>
                  </w14:solidFill>
                </w14:textFill>
              </w:rPr>
            </w:pPr>
            <w:r>
              <w:rPr>
                <w:rFonts w:hint="eastAsia" w:ascii="楷体" w:hAnsi="楷体" w:eastAsia="楷体" w:cs="楷体"/>
                <w:b/>
                <w:bCs/>
                <w:color w:val="000000" w:themeColor="text1"/>
                <w:sz w:val="32"/>
                <w:szCs w:val="32"/>
                <w:lang w:val="en-US" w:eastAsia="zh-CN"/>
                <w14:textFill>
                  <w14:solidFill>
                    <w14:schemeClr w14:val="tx1"/>
                  </w14:solidFill>
                </w14:textFill>
              </w:rPr>
              <w:t>水污染治理工程：</w:t>
            </w:r>
            <w:r>
              <w:rPr>
                <w:rFonts w:hint="eastAsia" w:ascii="楷体" w:hAnsi="楷体" w:eastAsia="楷体" w:cs="楷体"/>
                <w:b w:val="0"/>
                <w:bCs w:val="0"/>
                <w:color w:val="000000" w:themeColor="text1"/>
                <w:sz w:val="32"/>
                <w:szCs w:val="32"/>
                <w:lang w:val="en-US" w:eastAsia="zh-CN"/>
                <w14:textFill>
                  <w14:solidFill>
                    <w14:schemeClr w14:val="tx1"/>
                  </w14:solidFill>
                </w14:textFill>
              </w:rPr>
              <w:t>黄石新港污水处理尾水利用工程、海口湖及连通港水环境治理项目、中湖综合治理。</w:t>
            </w:r>
          </w:p>
          <w:p w14:paraId="5EB79E0C">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楷体" w:hAnsi="楷体" w:eastAsia="楷体" w:cs="楷体"/>
                <w:b w:val="0"/>
                <w:bCs w:val="0"/>
                <w:color w:val="000000" w:themeColor="text1"/>
                <w:sz w:val="32"/>
                <w:szCs w:val="32"/>
                <w:lang w:val="en-US" w:eastAsia="zh-CN"/>
                <w14:textFill>
                  <w14:solidFill>
                    <w14:schemeClr w14:val="tx1"/>
                  </w14:solidFill>
                </w14:textFill>
              </w:rPr>
            </w:pPr>
            <w:r>
              <w:rPr>
                <w:rFonts w:hint="eastAsia" w:ascii="楷体" w:hAnsi="楷体" w:eastAsia="楷体" w:cs="楷体"/>
                <w:b/>
                <w:bCs/>
                <w:color w:val="000000" w:themeColor="text1"/>
                <w:sz w:val="32"/>
                <w:szCs w:val="32"/>
                <w:lang w:val="en-US" w:eastAsia="zh-CN"/>
                <w14:textFill>
                  <w14:solidFill>
                    <w14:schemeClr w14:val="tx1"/>
                  </w14:solidFill>
                </w14:textFill>
              </w:rPr>
              <w:t>水安全保障工程：</w:t>
            </w:r>
            <w:r>
              <w:rPr>
                <w:rFonts w:hint="eastAsia" w:ascii="楷体" w:hAnsi="楷体" w:eastAsia="楷体" w:cs="楷体"/>
                <w:b w:val="0"/>
                <w:bCs w:val="0"/>
                <w:color w:val="000000" w:themeColor="text1"/>
                <w:sz w:val="32"/>
                <w:szCs w:val="32"/>
                <w:lang w:val="en-US" w:eastAsia="zh-CN"/>
                <w14:textFill>
                  <w14:solidFill>
                    <w14:schemeClr w14:val="tx1"/>
                  </w14:solidFill>
                </w14:textFill>
              </w:rPr>
              <w:t>长江干堤防（新港段）提档升级、大冶湖涝区治理工程、新港园区堤防泵站提档升级工程。</w:t>
            </w:r>
          </w:p>
          <w:p w14:paraId="28743A7A">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3" w:firstLineChars="200"/>
              <w:textAlignment w:val="auto"/>
              <w:rPr>
                <w:rFonts w:hint="default" w:ascii="楷体" w:hAnsi="楷体" w:eastAsia="楷体" w:cs="楷体"/>
                <w:color w:val="000000" w:themeColor="text1"/>
                <w:sz w:val="32"/>
                <w:szCs w:val="32"/>
                <w:lang w:val="en-US" w:eastAsia="zh-CN"/>
                <w14:textFill>
                  <w14:solidFill>
                    <w14:schemeClr w14:val="tx1"/>
                  </w14:solidFill>
                </w14:textFill>
              </w:rPr>
            </w:pPr>
            <w:r>
              <w:rPr>
                <w:rFonts w:hint="eastAsia" w:ascii="楷体" w:hAnsi="楷体" w:eastAsia="楷体" w:cs="楷体"/>
                <w:b/>
                <w:bCs/>
                <w:color w:val="000000" w:themeColor="text1"/>
                <w:sz w:val="32"/>
                <w:szCs w:val="32"/>
                <w:lang w:val="en-US" w:eastAsia="zh-CN"/>
                <w14:textFill>
                  <w14:solidFill>
                    <w14:schemeClr w14:val="tx1"/>
                  </w14:solidFill>
                </w14:textFill>
              </w:rPr>
              <w:t>生态修复工程：</w:t>
            </w:r>
            <w:r>
              <w:rPr>
                <w:rFonts w:hint="eastAsia" w:ascii="楷体" w:hAnsi="楷体" w:eastAsia="楷体" w:cs="楷体"/>
                <w:b w:val="0"/>
                <w:bCs w:val="0"/>
                <w:color w:val="000000" w:themeColor="text1"/>
                <w:sz w:val="32"/>
                <w:szCs w:val="32"/>
                <w:lang w:val="en-US" w:eastAsia="zh-CN"/>
                <w14:textFill>
                  <w14:solidFill>
                    <w14:schemeClr w14:val="tx1"/>
                  </w14:solidFill>
                </w14:textFill>
              </w:rPr>
              <w:t>环大冶湖流域新港园区全域国土综合整治项目、环韦山国土环境综合整治、春湖生态修复工程、新港（物流）工业园区煤矿采煤沉陷区生态修复治理项目、海口湖流域修复工程。</w:t>
            </w:r>
          </w:p>
        </w:tc>
      </w:tr>
    </w:tbl>
    <w:p w14:paraId="25339EDE">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jc w:val="center"/>
        <w:textAlignment w:val="auto"/>
        <w:outlineLvl w:val="0"/>
        <w:rPr>
          <w:rFonts w:hint="eastAsia"/>
          <w:color w:val="000000" w:themeColor="text1"/>
          <w:lang w:val="en-US" w:eastAsia="zh-CN"/>
          <w14:textFill>
            <w14:solidFill>
              <w14:schemeClr w14:val="tx1"/>
            </w14:solidFill>
          </w14:textFill>
        </w:rPr>
      </w:pPr>
      <w:bookmarkStart w:id="171" w:name="_Toc18397"/>
      <w:bookmarkStart w:id="172" w:name="_Toc13830"/>
    </w:p>
    <w:p w14:paraId="15659E68">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jc w:val="center"/>
        <w:textAlignment w:val="auto"/>
        <w:outlineLvl w:val="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 xml:space="preserve">第二节 </w:t>
      </w:r>
      <w:r>
        <w:rPr>
          <w:rFonts w:hint="eastAsia"/>
          <w:color w:val="000000" w:themeColor="text1"/>
          <w14:textFill>
            <w14:solidFill>
              <w14:schemeClr w14:val="tx1"/>
            </w14:solidFill>
          </w14:textFill>
        </w:rPr>
        <w:t>提升环境质量水平</w:t>
      </w:r>
      <w:bookmarkEnd w:id="170"/>
      <w:bookmarkEnd w:id="171"/>
      <w:bookmarkEnd w:id="172"/>
    </w:p>
    <w:p w14:paraId="6D41B58A">
      <w:pPr>
        <w:keepNext w:val="0"/>
        <w:keepLines w:val="0"/>
        <w:pageBreakBefore w:val="0"/>
        <w:widowControl w:val="0"/>
        <w:tabs>
          <w:tab w:val="right" w:leader="dot" w:pos="6300"/>
        </w:tabs>
        <w:kinsoku/>
        <w:wordWrap/>
        <w:overflowPunct/>
        <w:topLinePunct w:val="0"/>
        <w:autoSpaceDE/>
        <w:autoSpaceDN/>
        <w:bidi w:val="0"/>
        <w:adjustRightInd/>
        <w:snapToGrid/>
        <w:spacing w:line="4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4BB48CA5">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统筹推进大气、土壤、固废及新污染物协同治理。到2030年，PM2.5浓度稳定控制在32微克/立方米以下，新能源运输工具占比提升至30%，建设用地安全利用率、危险废物安全处置率均达100%，高风险新污染物排放总量下降25%，基本消除重污染天气。</w:t>
      </w:r>
    </w:p>
    <w:p w14:paraId="1B6B489A">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一、强化大气治理。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推动华新水泥（阳新）生产线实施超低排放改造，削减氮氧化物、二氧化硫等排放；支持宝钢涂镀板开展挥发性有机物综合治理，排放量降低20%以上。港口作业区推广全封闭气膜仓、智能喷淋降尘系统，建筑工地严格落实“六个百分百”，道路运输全面密闭化。推广新能源港口机械和物流车辆，淘汰全部高排放老旧机动车；完善重污染天气应急管控制度，培育绩效分级A级、B级及引领性企业，确保空气质量持续改善。</w:t>
      </w:r>
    </w:p>
    <w:p w14:paraId="64949FA3">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二、土壤与固废治理。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开展工业用地土壤污染状况详查，建立污染地块名录与动态管控机制，实施重点污染区域土壤修复工程。建设专业化固废处置中心，确保危险废物及医疗废弃物安全处置率100%；谋划建设新港园区环卫一体化项目。加强农业面源污染管控，推广绿色种植技术，减少化肥农药使用。</w:t>
      </w:r>
    </w:p>
    <w:p w14:paraId="6FE1C1F3">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三、严控源头排放。</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制定新污染物治理实施细则，在产业片区、港口作业区、长江岸线等关键区域布设监测点位，重点监测持久性有机污染物、内分泌干扰物等高风险新污染物。引导企业采用绿色生产工艺，严格新化学物质和涉新污染物产品准入管理；加强进口货物新污染物检测。对重点企业开展清洁生产审核与绿色化改造，在污水处理厂及重点企业建设靶向处理设施，到2030年高风险新污染物排放总量较“十四五”末下降25%。</w:t>
      </w:r>
    </w:p>
    <w:p w14:paraId="793CFC35">
      <w:pPr>
        <w:keepNext w:val="0"/>
        <w:keepLines w:val="0"/>
        <w:pageBreakBefore w:val="0"/>
        <w:widowControl w:val="0"/>
        <w:tabs>
          <w:tab w:val="right" w:leader="dot" w:pos="6300"/>
        </w:tabs>
        <w:kinsoku/>
        <w:wordWrap/>
        <w:overflowPunct/>
        <w:topLinePunct w:val="0"/>
        <w:autoSpaceDE/>
        <w:autoSpaceDN/>
        <w:bidi w:val="0"/>
        <w:adjustRightInd/>
        <w:snapToGrid/>
        <w:spacing w:line="4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173" w:name="_Toc22730"/>
    </w:p>
    <w:p w14:paraId="77C090A2">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jc w:val="center"/>
        <w:textAlignment w:val="auto"/>
        <w:outlineLvl w:val="0"/>
        <w:rPr>
          <w:rFonts w:hint="eastAsia"/>
          <w:color w:val="000000" w:themeColor="text1"/>
          <w14:textFill>
            <w14:solidFill>
              <w14:schemeClr w14:val="tx1"/>
            </w14:solidFill>
          </w14:textFill>
        </w:rPr>
      </w:pPr>
      <w:bookmarkStart w:id="174" w:name="_Toc3255"/>
      <w:bookmarkStart w:id="175" w:name="_Toc1309"/>
      <w:r>
        <w:rPr>
          <w:rFonts w:hint="eastAsia"/>
          <w:color w:val="000000" w:themeColor="text1"/>
          <w:lang w:val="en-US" w:eastAsia="zh-CN"/>
          <w14:textFill>
            <w14:solidFill>
              <w14:schemeClr w14:val="tx1"/>
            </w14:solidFill>
          </w14:textFill>
        </w:rPr>
        <w:t xml:space="preserve">第三节 </w:t>
      </w:r>
      <w:r>
        <w:rPr>
          <w:rFonts w:hint="eastAsia"/>
          <w:color w:val="000000" w:themeColor="text1"/>
          <w14:textFill>
            <w14:solidFill>
              <w14:schemeClr w14:val="tx1"/>
            </w14:solidFill>
          </w14:textFill>
        </w:rPr>
        <w:t>推进绿色转型发展</w:t>
      </w:r>
      <w:bookmarkEnd w:id="173"/>
      <w:bookmarkEnd w:id="174"/>
      <w:bookmarkEnd w:id="175"/>
    </w:p>
    <w:p w14:paraId="23DF4434">
      <w:pPr>
        <w:keepNext w:val="0"/>
        <w:keepLines w:val="0"/>
        <w:pageBreakBefore w:val="0"/>
        <w:widowControl w:val="0"/>
        <w:tabs>
          <w:tab w:val="right" w:leader="dot" w:pos="6300"/>
        </w:tabs>
        <w:kinsoku/>
        <w:wordWrap/>
        <w:overflowPunct/>
        <w:topLinePunct w:val="0"/>
        <w:autoSpaceDE/>
        <w:autoSpaceDN/>
        <w:bidi w:val="0"/>
        <w:adjustRightInd/>
        <w:snapToGrid/>
        <w:spacing w:line="4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6F338576">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产业循环升级与全领域低碳协同为重点，推动工业固废资源化利用、绿色工厂梯度培育及能源、交通、农业消费全链条低碳发展。到2030年，工业固废综合利用率稳定在95%以上，80%以上铸造企业、60%以上冶金企业达到省级及以上绿色工厂标准，非化石能源占一次能源消费比重提升至20%，港口机械氢能化改造率达70%、新能源运输工具占比提升至30%。</w:t>
      </w:r>
    </w:p>
    <w:p w14:paraId="7E384E6A">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一、推动产业绿色升级。</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聚焦低碳冶金、铸造产业固废处置，建设年处理能力50万吨的铸造废砂资源化利用生产线，推广砂型再生循环技术，废砂回收率超95%；配套建设冶金废渣综合利用项目，开发新型胶凝材料、蒸压加气混凝土砌块等建材产品，工业固废综合利用率稳定在95%以上。实施绿色工厂培育行动，引导华新水泥、新港重科等企业开展节能改造、清洁生产审核，推广余热发电、智能节能控制等技术，推动80%以上铸造企业、60%以上冶金企业达省级及以上绿色工厂标准。</w:t>
      </w:r>
    </w:p>
    <w:p w14:paraId="2B11B40C">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二、推进农业低碳生产。</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金海茶山为重点，种植环节推广生物防治、测土配方施肥技术，减少化肥农药用量，通过秸秆还田、绿肥轮作改良土壤，配套建设雨水收集设施和节水滴灌系统；加工流通环节优先采用可降解、可循环包装材料，支持就近建设农产品初加工点；推广太阳能杀虫灯、电动农机等低碳装备，因地制宜利用生物质能满足灌溉、加工等小型能源需求。</w:t>
      </w:r>
    </w:p>
    <w:p w14:paraId="73EC045F">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三、构建绿色低碳体系。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能源供给侧，推动园区工业厂房屋顶光伏全覆盖，配套建设“光储氢”一体化系统，推广生物质能应用，到2030年非化石能源占一次能源消费比重提升至20%。交通领域，推进港口机械氢能化改造，重点完成集装箱起重机、牵引车等设备升级，改造率达70%；推广新能源物流车辆、公务用车，完善充电桩、加氢站等基础设施，新能源运输工具占比提升至30%。生活消费侧，打造10家绿色消费示范场所，推行节能照明、垃圾分类、一次性用品减量等措施；推动新建建筑按绿色建筑标准建设，推广绿色装修材料与节能家电。通过能源、交通、消费多领域协同，建成“低碳生产、绿色生活、循环高效”的零碳园区发展模式。</w:t>
      </w:r>
    </w:p>
    <w:p w14:paraId="58AD577F">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left="0" w:leftChars="0" w:firstLine="0" w:firstLineChars="0"/>
        <w:jc w:val="center"/>
        <w:textAlignment w:val="auto"/>
        <w:rPr>
          <w:rFonts w:hint="eastAsia" w:ascii="黑体" w:hAnsi="黑体" w:eastAsia="黑体" w:cs="黑体"/>
          <w:color w:val="000000" w:themeColor="text1"/>
          <w:sz w:val="32"/>
          <w:szCs w:val="32"/>
          <w:lang w:val="en-US" w:eastAsia="zh-CN"/>
          <w14:textFill>
            <w14:solidFill>
              <w14:schemeClr w14:val="tx1"/>
            </w14:solidFill>
          </w14:textFill>
        </w:rPr>
      </w:pPr>
    </w:p>
    <w:p w14:paraId="46A20DD6">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left="0" w:leftChars="0" w:firstLine="0" w:firstLineChars="0"/>
        <w:jc w:val="center"/>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专栏12：新港园区绿色转型重点工程</w:t>
      </w:r>
    </w:p>
    <w:tbl>
      <w:tblPr>
        <w:tblStyle w:val="11"/>
        <w:tblW w:w="0" w:type="auto"/>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20"/>
      </w:tblGrid>
      <w:tr w14:paraId="5EE09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20" w:type="dxa"/>
          </w:tcPr>
          <w:p w14:paraId="146F9755">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楷体" w:hAnsi="楷体" w:eastAsia="楷体" w:cs="楷体"/>
                <w:color w:val="000000" w:themeColor="text1"/>
                <w:sz w:val="32"/>
                <w:szCs w:val="32"/>
                <w:lang w:val="en-US" w:eastAsia="zh-CN"/>
                <w14:textFill>
                  <w14:solidFill>
                    <w14:schemeClr w14:val="tx1"/>
                  </w14:solidFill>
                </w14:textFill>
              </w:rPr>
            </w:pPr>
            <w:r>
              <w:rPr>
                <w:rFonts w:hint="eastAsia" w:ascii="楷体" w:hAnsi="楷体" w:eastAsia="楷体" w:cs="楷体"/>
                <w:b w:val="0"/>
                <w:bCs w:val="0"/>
                <w:color w:val="000000" w:themeColor="text1"/>
                <w:sz w:val="32"/>
                <w:szCs w:val="32"/>
                <w:lang w:val="en-US" w:eastAsia="zh-CN"/>
                <w14:textFill>
                  <w14:solidFill>
                    <w14:schemeClr w14:val="tx1"/>
                  </w14:solidFill>
                </w14:textFill>
              </w:rPr>
              <w:t>黄石新港零碳园区项目、新港园区循环经济产业园项目、绿色低碳综保区示范项目、金属资源再生利用基地、新型多元储能项目、黄石新港园区400MW/800MWh储能电站新能源项目。</w:t>
            </w:r>
          </w:p>
        </w:tc>
      </w:tr>
    </w:tbl>
    <w:p w14:paraId="691B7D55">
      <w:pPr>
        <w:pStyle w:val="2"/>
        <w:keepNext/>
        <w:keepLines/>
        <w:pageBreakBefore w:val="0"/>
        <w:widowControl w:val="0"/>
        <w:tabs>
          <w:tab w:val="right" w:leader="dot" w:pos="6300"/>
        </w:tabs>
        <w:kinsoku/>
        <w:wordWrap/>
        <w:overflowPunct/>
        <w:topLinePunct w:val="0"/>
        <w:autoSpaceDE/>
        <w:autoSpaceDN/>
        <w:bidi w:val="0"/>
        <w:adjustRightInd/>
        <w:snapToGrid/>
        <w:spacing w:before="0" w:after="0" w:line="600" w:lineRule="exact"/>
        <w:jc w:val="center"/>
        <w:textAlignment w:val="auto"/>
        <w:rPr>
          <w:rFonts w:hint="eastAsia" w:ascii="微软雅黑" w:hAnsi="微软雅黑" w:eastAsia="微软雅黑" w:cs="微软雅黑"/>
          <w:b w:val="0"/>
          <w:bCs/>
          <w:color w:val="000000" w:themeColor="text1"/>
          <w:kern w:val="2"/>
          <w:sz w:val="44"/>
          <w:szCs w:val="44"/>
          <w:lang w:val="en-US" w:eastAsia="zh-CN" w:bidi="ar-SA"/>
          <w14:textFill>
            <w14:solidFill>
              <w14:schemeClr w14:val="tx1"/>
            </w14:solidFill>
          </w14:textFill>
        </w:rPr>
      </w:pPr>
      <w:bookmarkStart w:id="176" w:name="_Toc18068"/>
      <w:bookmarkStart w:id="177" w:name="_Toc10111"/>
      <w:bookmarkStart w:id="178" w:name="_Toc14488"/>
      <w:bookmarkStart w:id="179" w:name="_Toc2083"/>
    </w:p>
    <w:p w14:paraId="1C655E97">
      <w:pPr>
        <w:pStyle w:val="2"/>
        <w:keepNext/>
        <w:keepLines/>
        <w:pageBreakBefore w:val="0"/>
        <w:widowControl w:val="0"/>
        <w:tabs>
          <w:tab w:val="right" w:leader="dot" w:pos="6300"/>
        </w:tabs>
        <w:kinsoku/>
        <w:wordWrap/>
        <w:overflowPunct/>
        <w:topLinePunct w:val="0"/>
        <w:autoSpaceDE/>
        <w:autoSpaceDN/>
        <w:bidi w:val="0"/>
        <w:adjustRightInd/>
        <w:snapToGrid/>
        <w:spacing w:before="0" w:after="0" w:line="600" w:lineRule="exact"/>
        <w:jc w:val="center"/>
        <w:textAlignment w:val="auto"/>
        <w:rPr>
          <w:rFonts w:hint="eastAsia" w:ascii="微软雅黑" w:hAnsi="微软雅黑" w:eastAsia="微软雅黑" w:cs="微软雅黑"/>
          <w:b w:val="0"/>
          <w:bCs/>
          <w:color w:val="000000" w:themeColor="text1"/>
          <w:kern w:val="2"/>
          <w:sz w:val="44"/>
          <w:szCs w:val="44"/>
          <w:lang w:val="en-US" w:eastAsia="zh-CN" w:bidi="ar-SA"/>
          <w14:textFill>
            <w14:solidFill>
              <w14:schemeClr w14:val="tx1"/>
            </w14:solidFill>
          </w14:textFill>
        </w:rPr>
      </w:pPr>
    </w:p>
    <w:p w14:paraId="349FC1A1">
      <w:pPr>
        <w:rPr>
          <w:rFonts w:hint="eastAsia" w:ascii="微软雅黑" w:hAnsi="微软雅黑" w:eastAsia="微软雅黑" w:cs="微软雅黑"/>
          <w:b w:val="0"/>
          <w:bCs/>
          <w:color w:val="000000" w:themeColor="text1"/>
          <w:kern w:val="2"/>
          <w:sz w:val="44"/>
          <w:szCs w:val="44"/>
          <w:lang w:val="en-US" w:eastAsia="zh-CN" w:bidi="ar-SA"/>
          <w14:textFill>
            <w14:solidFill>
              <w14:schemeClr w14:val="tx1"/>
            </w14:solidFill>
          </w14:textFill>
        </w:rPr>
      </w:pPr>
    </w:p>
    <w:p w14:paraId="50EE50CC">
      <w:pPr>
        <w:rPr>
          <w:rFonts w:hint="eastAsia" w:ascii="微软雅黑" w:hAnsi="微软雅黑" w:eastAsia="微软雅黑" w:cs="微软雅黑"/>
          <w:b w:val="0"/>
          <w:bCs/>
          <w:color w:val="000000" w:themeColor="text1"/>
          <w:kern w:val="2"/>
          <w:sz w:val="44"/>
          <w:szCs w:val="44"/>
          <w:lang w:val="en-US" w:eastAsia="zh-CN" w:bidi="ar-SA"/>
          <w14:textFill>
            <w14:solidFill>
              <w14:schemeClr w14:val="tx1"/>
            </w14:solidFill>
          </w14:textFill>
        </w:rPr>
      </w:pPr>
    </w:p>
    <w:p w14:paraId="7A663470">
      <w:pPr>
        <w:rPr>
          <w:rFonts w:hint="eastAsia" w:ascii="微软雅黑" w:hAnsi="微软雅黑" w:eastAsia="微软雅黑" w:cs="微软雅黑"/>
          <w:b w:val="0"/>
          <w:bCs/>
          <w:color w:val="000000" w:themeColor="text1"/>
          <w:kern w:val="2"/>
          <w:sz w:val="44"/>
          <w:szCs w:val="44"/>
          <w:lang w:val="en-US" w:eastAsia="zh-CN" w:bidi="ar-SA"/>
          <w14:textFill>
            <w14:solidFill>
              <w14:schemeClr w14:val="tx1"/>
            </w14:solidFill>
          </w14:textFill>
        </w:rPr>
      </w:pPr>
    </w:p>
    <w:p w14:paraId="4A707EA2">
      <w:pPr>
        <w:rPr>
          <w:rFonts w:hint="eastAsia" w:ascii="微软雅黑" w:hAnsi="微软雅黑" w:eastAsia="微软雅黑" w:cs="微软雅黑"/>
          <w:b w:val="0"/>
          <w:bCs/>
          <w:color w:val="000000" w:themeColor="text1"/>
          <w:kern w:val="2"/>
          <w:sz w:val="44"/>
          <w:szCs w:val="44"/>
          <w:lang w:val="en-US" w:eastAsia="zh-CN" w:bidi="ar-SA"/>
          <w14:textFill>
            <w14:solidFill>
              <w14:schemeClr w14:val="tx1"/>
            </w14:solidFill>
          </w14:textFill>
        </w:rPr>
      </w:pPr>
    </w:p>
    <w:p w14:paraId="2F235018">
      <w:pPr>
        <w:rPr>
          <w:rFonts w:hint="eastAsia" w:ascii="微软雅黑" w:hAnsi="微软雅黑" w:eastAsia="微软雅黑" w:cs="微软雅黑"/>
          <w:b w:val="0"/>
          <w:bCs/>
          <w:color w:val="000000" w:themeColor="text1"/>
          <w:kern w:val="2"/>
          <w:sz w:val="44"/>
          <w:szCs w:val="44"/>
          <w:lang w:val="en-US" w:eastAsia="zh-CN" w:bidi="ar-SA"/>
          <w14:textFill>
            <w14:solidFill>
              <w14:schemeClr w14:val="tx1"/>
            </w14:solidFill>
          </w14:textFill>
        </w:rPr>
      </w:pPr>
    </w:p>
    <w:p w14:paraId="50CF1704">
      <w:pPr>
        <w:rPr>
          <w:rFonts w:hint="eastAsia" w:ascii="微软雅黑" w:hAnsi="微软雅黑" w:eastAsia="微软雅黑" w:cs="微软雅黑"/>
          <w:b w:val="0"/>
          <w:bCs/>
          <w:color w:val="000000" w:themeColor="text1"/>
          <w:kern w:val="2"/>
          <w:sz w:val="44"/>
          <w:szCs w:val="44"/>
          <w:lang w:val="en-US" w:eastAsia="zh-CN" w:bidi="ar-SA"/>
          <w14:textFill>
            <w14:solidFill>
              <w14:schemeClr w14:val="tx1"/>
            </w14:solidFill>
          </w14:textFill>
        </w:rPr>
      </w:pPr>
    </w:p>
    <w:p w14:paraId="00C2DE6F">
      <w:pPr>
        <w:rPr>
          <w:rFonts w:hint="eastAsia" w:ascii="微软雅黑" w:hAnsi="微软雅黑" w:eastAsia="微软雅黑" w:cs="微软雅黑"/>
          <w:b w:val="0"/>
          <w:bCs/>
          <w:color w:val="000000" w:themeColor="text1"/>
          <w:kern w:val="2"/>
          <w:sz w:val="44"/>
          <w:szCs w:val="44"/>
          <w:lang w:val="en-US" w:eastAsia="zh-CN" w:bidi="ar-SA"/>
          <w14:textFill>
            <w14:solidFill>
              <w14:schemeClr w14:val="tx1"/>
            </w14:solidFill>
          </w14:textFill>
        </w:rPr>
      </w:pPr>
    </w:p>
    <w:p w14:paraId="59AEA8F6">
      <w:pPr>
        <w:rPr>
          <w:rFonts w:hint="eastAsia" w:ascii="微软雅黑" w:hAnsi="微软雅黑" w:eastAsia="微软雅黑" w:cs="微软雅黑"/>
          <w:b w:val="0"/>
          <w:bCs/>
          <w:color w:val="000000" w:themeColor="text1"/>
          <w:kern w:val="2"/>
          <w:sz w:val="44"/>
          <w:szCs w:val="44"/>
          <w:lang w:val="en-US" w:eastAsia="zh-CN" w:bidi="ar-SA"/>
          <w14:textFill>
            <w14:solidFill>
              <w14:schemeClr w14:val="tx1"/>
            </w14:solidFill>
          </w14:textFill>
        </w:rPr>
      </w:pPr>
    </w:p>
    <w:p w14:paraId="5D440F20">
      <w:pPr>
        <w:rPr>
          <w:rFonts w:hint="eastAsia" w:ascii="微软雅黑" w:hAnsi="微软雅黑" w:eastAsia="微软雅黑" w:cs="微软雅黑"/>
          <w:b w:val="0"/>
          <w:bCs/>
          <w:color w:val="000000" w:themeColor="text1"/>
          <w:kern w:val="2"/>
          <w:sz w:val="44"/>
          <w:szCs w:val="44"/>
          <w:lang w:val="en-US" w:eastAsia="zh-CN" w:bidi="ar-SA"/>
          <w14:textFill>
            <w14:solidFill>
              <w14:schemeClr w14:val="tx1"/>
            </w14:solidFill>
          </w14:textFill>
        </w:rPr>
      </w:pPr>
    </w:p>
    <w:p w14:paraId="39314201">
      <w:pPr>
        <w:rPr>
          <w:rFonts w:hint="eastAsia" w:ascii="微软雅黑" w:hAnsi="微软雅黑" w:eastAsia="微软雅黑" w:cs="微软雅黑"/>
          <w:b w:val="0"/>
          <w:bCs/>
          <w:color w:val="000000" w:themeColor="text1"/>
          <w:kern w:val="2"/>
          <w:sz w:val="44"/>
          <w:szCs w:val="44"/>
          <w:lang w:val="en-US" w:eastAsia="zh-CN" w:bidi="ar-SA"/>
          <w14:textFill>
            <w14:solidFill>
              <w14:schemeClr w14:val="tx1"/>
            </w14:solidFill>
          </w14:textFill>
        </w:rPr>
      </w:pPr>
    </w:p>
    <w:p w14:paraId="2A5F8317">
      <w:pPr>
        <w:pStyle w:val="2"/>
        <w:keepNext/>
        <w:keepLines/>
        <w:pageBreakBefore w:val="0"/>
        <w:widowControl w:val="0"/>
        <w:tabs>
          <w:tab w:val="right" w:leader="dot" w:pos="6300"/>
        </w:tabs>
        <w:kinsoku/>
        <w:wordWrap/>
        <w:overflowPunct/>
        <w:topLinePunct w:val="0"/>
        <w:autoSpaceDE/>
        <w:autoSpaceDN/>
        <w:bidi w:val="0"/>
        <w:adjustRightInd/>
        <w:snapToGrid/>
        <w:spacing w:before="0" w:after="0" w:line="600" w:lineRule="exact"/>
        <w:jc w:val="center"/>
        <w:textAlignment w:val="auto"/>
        <w:rPr>
          <w:rFonts w:hint="eastAsia" w:ascii="微软雅黑" w:hAnsi="微软雅黑" w:eastAsia="微软雅黑" w:cs="微软雅黑"/>
          <w:b w:val="0"/>
          <w:bCs/>
          <w:color w:val="000000" w:themeColor="text1"/>
          <w:kern w:val="2"/>
          <w:sz w:val="44"/>
          <w:szCs w:val="44"/>
          <w:lang w:val="en-US" w:eastAsia="zh-CN" w:bidi="ar-SA"/>
          <w14:textFill>
            <w14:solidFill>
              <w14:schemeClr w14:val="tx1"/>
            </w14:solidFill>
          </w14:textFill>
        </w:rPr>
      </w:pPr>
      <w:r>
        <w:rPr>
          <w:rFonts w:hint="eastAsia" w:ascii="微软雅黑" w:hAnsi="微软雅黑" w:eastAsia="微软雅黑" w:cs="微软雅黑"/>
          <w:b w:val="0"/>
          <w:bCs/>
          <w:color w:val="000000" w:themeColor="text1"/>
          <w:kern w:val="2"/>
          <w:sz w:val="44"/>
          <w:szCs w:val="44"/>
          <w:lang w:val="en-US" w:eastAsia="zh-CN" w:bidi="ar-SA"/>
          <w14:textFill>
            <w14:solidFill>
              <w14:schemeClr w14:val="tx1"/>
            </w14:solidFill>
          </w14:textFill>
        </w:rPr>
        <w:t>第七章 加快建成幸福港</w:t>
      </w:r>
    </w:p>
    <w:p w14:paraId="17AC5FF5">
      <w:pPr>
        <w:pStyle w:val="2"/>
        <w:keepNext/>
        <w:keepLines/>
        <w:pageBreakBefore w:val="0"/>
        <w:widowControl w:val="0"/>
        <w:tabs>
          <w:tab w:val="right" w:leader="dot" w:pos="6300"/>
        </w:tabs>
        <w:kinsoku/>
        <w:wordWrap/>
        <w:overflowPunct/>
        <w:topLinePunct w:val="0"/>
        <w:autoSpaceDE/>
        <w:autoSpaceDN/>
        <w:bidi w:val="0"/>
        <w:adjustRightInd/>
        <w:snapToGrid/>
        <w:spacing w:before="0" w:after="0" w:line="600" w:lineRule="exact"/>
        <w:jc w:val="center"/>
        <w:textAlignment w:val="auto"/>
        <w:rPr>
          <w:rFonts w:hint="eastAsia" w:ascii="微软雅黑" w:hAnsi="微软雅黑" w:eastAsia="微软雅黑" w:cs="微软雅黑"/>
          <w:b w:val="0"/>
          <w:bCs/>
          <w:color w:val="000000" w:themeColor="text1"/>
          <w:kern w:val="2"/>
          <w:sz w:val="44"/>
          <w:szCs w:val="44"/>
          <w:lang w:val="en-US" w:eastAsia="zh-CN" w:bidi="ar-SA"/>
          <w14:textFill>
            <w14:solidFill>
              <w14:schemeClr w14:val="tx1"/>
            </w14:solidFill>
          </w14:textFill>
        </w:rPr>
      </w:pPr>
      <w:r>
        <w:rPr>
          <w:rFonts w:hint="eastAsia" w:ascii="微软雅黑" w:hAnsi="微软雅黑" w:eastAsia="微软雅黑" w:cs="微软雅黑"/>
          <w:b w:val="0"/>
          <w:bCs/>
          <w:color w:val="000000" w:themeColor="text1"/>
          <w:kern w:val="2"/>
          <w:sz w:val="44"/>
          <w:szCs w:val="44"/>
          <w:lang w:val="en-US" w:eastAsia="zh-CN" w:bidi="ar-SA"/>
          <w14:textFill>
            <w14:solidFill>
              <w14:schemeClr w14:val="tx1"/>
            </w14:solidFill>
          </w14:textFill>
        </w:rPr>
        <w:t>增进民生福祉提升城市品质</w:t>
      </w:r>
    </w:p>
    <w:p w14:paraId="0E017972">
      <w:pPr>
        <w:pStyle w:val="2"/>
        <w:keepNext/>
        <w:keepLines/>
        <w:pageBreakBefore w:val="0"/>
        <w:widowControl w:val="0"/>
        <w:tabs>
          <w:tab w:val="right" w:leader="dot" w:pos="6300"/>
        </w:tabs>
        <w:kinsoku/>
        <w:wordWrap/>
        <w:overflowPunct/>
        <w:topLinePunct w:val="0"/>
        <w:autoSpaceDE/>
        <w:autoSpaceDN/>
        <w:bidi w:val="0"/>
        <w:adjustRightInd/>
        <w:snapToGrid/>
        <w:spacing w:before="0" w:after="0" w:line="400" w:lineRule="exact"/>
        <w:jc w:val="both"/>
        <w:textAlignment w:val="auto"/>
        <w:rPr>
          <w:rFonts w:hint="eastAsia" w:ascii="微软雅黑" w:hAnsi="微软雅黑" w:eastAsia="微软雅黑" w:cs="微软雅黑"/>
          <w:b w:val="0"/>
          <w:bCs/>
          <w:color w:val="000000" w:themeColor="text1"/>
          <w:kern w:val="2"/>
          <w:sz w:val="44"/>
          <w:szCs w:val="44"/>
          <w:lang w:val="en-US" w:eastAsia="zh-CN" w:bidi="ar-SA"/>
          <w14:textFill>
            <w14:solidFill>
              <w14:schemeClr w14:val="tx1"/>
            </w14:solidFill>
          </w14:textFill>
        </w:rPr>
      </w:pPr>
    </w:p>
    <w:bookmarkEnd w:id="176"/>
    <w:bookmarkEnd w:id="177"/>
    <w:bookmarkEnd w:id="178"/>
    <w:bookmarkEnd w:id="179"/>
    <w:p w14:paraId="3EF17C1F">
      <w:pPr>
        <w:pStyle w:val="2"/>
        <w:keepNext/>
        <w:keepLines/>
        <w:pageBreakBefore w:val="0"/>
        <w:widowControl w:val="0"/>
        <w:tabs>
          <w:tab w:val="right" w:leader="dot" w:pos="6300"/>
        </w:tabs>
        <w:kinsoku/>
        <w:wordWrap/>
        <w:overflowPunct/>
        <w:topLinePunct w:val="0"/>
        <w:autoSpaceDE/>
        <w:autoSpaceDN/>
        <w:bidi w:val="0"/>
        <w:adjustRightInd/>
        <w:snapToGrid/>
        <w:spacing w:before="0" w:after="0" w:line="600" w:lineRule="exact"/>
        <w:ind w:firstLine="640" w:firstLineChars="200"/>
        <w:jc w:val="both"/>
        <w:textAlignment w:val="auto"/>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以公共服务优质均衡、城乡融合深度推进、安全保障坚实有力、社会治理精细高效为主攻方向，统筹推进教育医疗养老提质、乡村振兴与片区开发联动、城市功能配套完善、就业社保兜底保障、全领域安全防控及社会治理与法治建设，建成宜居宜业、安全韧性、治理高效的现代化港口新城。</w:t>
      </w:r>
    </w:p>
    <w:p w14:paraId="506C1F9B">
      <w:pPr>
        <w:keepNext w:val="0"/>
        <w:keepLines w:val="0"/>
        <w:pageBreakBefore w:val="0"/>
        <w:widowControl w:val="0"/>
        <w:tabs>
          <w:tab w:val="right" w:leader="dot" w:pos="6300"/>
        </w:tabs>
        <w:kinsoku/>
        <w:wordWrap/>
        <w:overflowPunct/>
        <w:topLinePunct w:val="0"/>
        <w:autoSpaceDE/>
        <w:autoSpaceDN/>
        <w:bidi w:val="0"/>
        <w:adjustRightInd/>
        <w:snapToGrid/>
        <w:spacing w:line="4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180" w:name="_Toc29531"/>
    </w:p>
    <w:p w14:paraId="11B6A7E0">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jc w:val="center"/>
        <w:textAlignment w:val="auto"/>
        <w:outlineLvl w:val="0"/>
        <w:rPr>
          <w:rFonts w:hint="eastAsia"/>
          <w:color w:val="000000" w:themeColor="text1"/>
          <w14:textFill>
            <w14:solidFill>
              <w14:schemeClr w14:val="tx1"/>
            </w14:solidFill>
          </w14:textFill>
        </w:rPr>
      </w:pPr>
      <w:bookmarkStart w:id="181" w:name="_Toc32707"/>
      <w:bookmarkStart w:id="182" w:name="_Toc30751"/>
      <w:r>
        <w:rPr>
          <w:rFonts w:hint="eastAsia"/>
          <w:color w:val="000000" w:themeColor="text1"/>
          <w:lang w:val="en-US" w:eastAsia="zh-CN"/>
          <w14:textFill>
            <w14:solidFill>
              <w14:schemeClr w14:val="tx1"/>
            </w14:solidFill>
          </w14:textFill>
        </w:rPr>
        <w:t xml:space="preserve">第一节 </w:t>
      </w:r>
      <w:r>
        <w:rPr>
          <w:rFonts w:hint="eastAsia"/>
          <w:color w:val="000000" w:themeColor="text1"/>
          <w14:textFill>
            <w14:solidFill>
              <w14:schemeClr w14:val="tx1"/>
            </w14:solidFill>
          </w14:textFill>
        </w:rPr>
        <w:t>提质公共服务供给</w:t>
      </w:r>
      <w:bookmarkEnd w:id="180"/>
      <w:bookmarkEnd w:id="181"/>
      <w:bookmarkEnd w:id="182"/>
    </w:p>
    <w:p w14:paraId="1ABD4003">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40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6A7D3A16">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文化、教育、医疗、体育协同提质为重点，构建普惠多元的公共文化体系、优质均衡的教育高地、分级可及的健康保障网络与全民共享的体育服务生态。到2030年，基本建成教育强区，基础教育进入全市中上层级，公共文化设施全域覆盖。</w:t>
      </w:r>
    </w:p>
    <w:p w14:paraId="21084358">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一、构建多元文化体系。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满足居民精神文化需求为核心，推进公共文化服务“设施全覆盖、内容多样化、服务精准化”。设施建设上，配套图书馆、城市书屋、非遗展示馆、小剧场等载体，升级村级文化活动室和社区文化服务站，实现基层文化设施全覆盖。搭建智慧文化平台，整合线上借阅、艺术课程、活动预约等功能，推进文化资源数字化共享。精准供给上，面向老年人开展书法戏曲、民俗体验等活动，面向青少年推出非遗研学、港口文化体验等主题项目，面向产业工人和年轻人才提供潮流文创、音乐沙龙等年轻化业态。传承本土民俗非遗，培育本土文艺队伍。实施公民道德建设工程，健全志愿服务体系，加强新时代廉洁文化建设，打造具有新港特色的文明实践品牌。加强文化遗产保护传承，深入挖掘七约山工矿遗址、鄂东特委金海区遗址等工业遗产和红色文化资源，推进保护修缮与活化利用，积极融入长江国家文化公园（湖北段）建设。</w:t>
      </w:r>
    </w:p>
    <w:p w14:paraId="6A1349E9">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二、打造区域教育高地。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根据人口流动情况适时整合规模较小学校，在海口湖新区新建1所九年一贯制学校，配套自然生态、历史文化、劳动实践、科技创新四大板块研学基地。实施课堂主阵地建设工程，推广启发式与探究式教学，持续推进“双减”并贯通“三个课堂”；实施青少年健康成长工程，推进美育和劳动教育。推进“七防工程”“雪亮工程”建设，筑牢校园安全防线。建立与高校联合办学机制，深化跨区域教育合作。推进智慧教育，加快数字校园建设，构建人工智能素养培育体系。到2027年教育强区建设取得重要进展，2030年基本建成教育强区，基础教育发展水平进入全市中上层级。</w:t>
      </w:r>
    </w:p>
    <w:p w14:paraId="44E96DB6">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三、构建健康保障网络。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深化新港人民医院与市中心医院紧密型医联体建设，创建2—3个市级重点专科，完善分级诊疗体系。完成26家村卫生室一体化管理，新建10个村级健康驿站，实现“小病不出村、常见病不出镇”。推广“县管乡用”“乡聘村用”机制，稳定基层医疗队伍。发展“互联网+医疗健康”，建设全民健康信息平台，推广远程诊疗、在线复诊、健康管理等智慧服务；加强中医药传承创新，构建中西医协同的健康服务模式。打造慢病管理研学基地，针对高血压、糖尿病群体推出“湖居膳食调理+康复运动”干预项目。到2030年，构建起与资源禀赋匹配、服务效能突出、产业活力充沛的高质量医疗健康产业发展格局</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w:t>
      </w:r>
    </w:p>
    <w:p w14:paraId="6608BB59">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四、健全全民健身体系。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普惠均等、功能适配”为原则，完善体育设施布局，丰富体育活动供给。设施建设上，在园区中心区域规划建设综合性体育中心，配套标准体育场、体育馆、游泳馆及户外健身场地，承接区域性体育赛事与大型群众活动；结合海口湖、大冶湖生态资源，建设10公里环湖健身步道与5公里登山步道，打造“生态+健身”特色场景。基层覆盖上，按“15分钟健身圈”标准，在每个社区（村）建设或升级社区健身广场，配备篮球架、健身路径、儿童游乐设施等，累计新增基层健身设施30套以上。服务优化上，推动学校体育场地、公共体育设施免费或低收费开放；擦亮𣲗源口镇村BA名片，培育3—5个特色体育品牌赛事，定期举办园区运动会、球类联赛等群众性体育活动；配备专业体育指导员，开展健身指导进社区、进企业活动，提升居民科学健身水平。</w:t>
      </w:r>
    </w:p>
    <w:p w14:paraId="052B9BF9">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left="0" w:leftChars="0" w:firstLine="0" w:firstLineChars="0"/>
        <w:jc w:val="center"/>
        <w:textAlignment w:val="auto"/>
        <w:rPr>
          <w:rFonts w:hint="eastAsia" w:ascii="黑体" w:hAnsi="黑体" w:eastAsia="黑体" w:cs="黑体"/>
          <w:color w:val="000000" w:themeColor="text1"/>
          <w:sz w:val="32"/>
          <w:szCs w:val="32"/>
          <w:lang w:val="en-US" w:eastAsia="zh-CN"/>
          <w14:textFill>
            <w14:solidFill>
              <w14:schemeClr w14:val="tx1"/>
            </w14:solidFill>
          </w14:textFill>
        </w:rPr>
      </w:pPr>
      <w:bookmarkStart w:id="183" w:name="_Toc7958"/>
    </w:p>
    <w:p w14:paraId="2501DD83">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left="0" w:leftChars="0" w:firstLine="0" w:firstLineChars="0"/>
        <w:jc w:val="center"/>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专栏13：新港园区公共服务重点工程</w:t>
      </w:r>
    </w:p>
    <w:tbl>
      <w:tblPr>
        <w:tblStyle w:val="11"/>
        <w:tblW w:w="0" w:type="auto"/>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5"/>
      </w:tblGrid>
      <w:tr w14:paraId="4F714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5" w:type="dxa"/>
          </w:tcPr>
          <w:p w14:paraId="176C8FB9">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3" w:firstLineChars="200"/>
              <w:textAlignment w:val="auto"/>
              <w:rPr>
                <w:rFonts w:hint="eastAsia" w:ascii="楷体" w:hAnsi="楷体" w:eastAsia="楷体" w:cs="楷体"/>
                <w:b w:val="0"/>
                <w:bCs w:val="0"/>
                <w:color w:val="000000" w:themeColor="text1"/>
                <w:sz w:val="32"/>
                <w:szCs w:val="32"/>
                <w:lang w:val="en-US" w:eastAsia="zh-CN"/>
                <w14:textFill>
                  <w14:solidFill>
                    <w14:schemeClr w14:val="tx1"/>
                  </w14:solidFill>
                </w14:textFill>
              </w:rPr>
            </w:pPr>
            <w:r>
              <w:rPr>
                <w:rFonts w:hint="eastAsia" w:ascii="楷体" w:hAnsi="楷体" w:eastAsia="楷体" w:cs="楷体"/>
                <w:b/>
                <w:bCs/>
                <w:color w:val="000000" w:themeColor="text1"/>
                <w:sz w:val="32"/>
                <w:szCs w:val="32"/>
                <w:lang w:val="en-US" w:eastAsia="zh-CN"/>
                <w14:textFill>
                  <w14:solidFill>
                    <w14:schemeClr w14:val="tx1"/>
                  </w14:solidFill>
                </w14:textFill>
              </w:rPr>
              <w:t>文化体系工程：</w:t>
            </w:r>
            <w:r>
              <w:rPr>
                <w:rFonts w:hint="eastAsia" w:ascii="楷体" w:hAnsi="楷体" w:eastAsia="楷体" w:cs="楷体"/>
                <w:b w:val="0"/>
                <w:bCs w:val="0"/>
                <w:color w:val="000000" w:themeColor="text1"/>
                <w:sz w:val="32"/>
                <w:szCs w:val="32"/>
                <w:lang w:val="en-US" w:eastAsia="zh-CN"/>
                <w14:textFill>
                  <w14:solidFill>
                    <w14:schemeClr w14:val="tx1"/>
                  </w14:solidFill>
                </w14:textFill>
              </w:rPr>
              <w:t>新港文化综合服务中心、戏台街特色街区项目、鄂东特委金海区遗址－红色小镇项目、七约山工矿遗址文化康养项目</w:t>
            </w:r>
          </w:p>
          <w:p w14:paraId="5FB4FA66">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3" w:firstLineChars="200"/>
              <w:textAlignment w:val="auto"/>
              <w:rPr>
                <w:rFonts w:hint="eastAsia" w:ascii="楷体" w:hAnsi="楷体" w:eastAsia="楷体" w:cs="楷体"/>
                <w:b w:val="0"/>
                <w:bCs w:val="0"/>
                <w:color w:val="000000" w:themeColor="text1"/>
                <w:sz w:val="32"/>
                <w:szCs w:val="32"/>
                <w:lang w:val="en-US" w:eastAsia="zh-CN"/>
                <w14:textFill>
                  <w14:solidFill>
                    <w14:schemeClr w14:val="tx1"/>
                  </w14:solidFill>
                </w14:textFill>
              </w:rPr>
            </w:pPr>
            <w:r>
              <w:rPr>
                <w:rFonts w:hint="eastAsia" w:ascii="楷体" w:hAnsi="楷体" w:eastAsia="楷体" w:cs="楷体"/>
                <w:b/>
                <w:bCs/>
                <w:color w:val="000000" w:themeColor="text1"/>
                <w:sz w:val="32"/>
                <w:szCs w:val="32"/>
                <w:lang w:val="en-US" w:eastAsia="zh-CN"/>
                <w14:textFill>
                  <w14:solidFill>
                    <w14:schemeClr w14:val="tx1"/>
                  </w14:solidFill>
                </w14:textFill>
              </w:rPr>
              <w:t>教育工程：</w:t>
            </w:r>
            <w:r>
              <w:rPr>
                <w:rFonts w:hint="eastAsia" w:ascii="楷体" w:hAnsi="楷体" w:eastAsia="楷体" w:cs="楷体"/>
                <w:b w:val="0"/>
                <w:bCs w:val="0"/>
                <w:color w:val="000000" w:themeColor="text1"/>
                <w:sz w:val="32"/>
                <w:szCs w:val="32"/>
                <w:lang w:val="en-US" w:eastAsia="zh-CN"/>
                <w14:textFill>
                  <w14:solidFill>
                    <w14:schemeClr w14:val="tx1"/>
                  </w14:solidFill>
                </w14:textFill>
              </w:rPr>
              <w:t>海口湖实验学校、海口湖科创研学基地建设项目</w:t>
            </w:r>
          </w:p>
          <w:p w14:paraId="40B9950A">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3" w:firstLineChars="200"/>
              <w:textAlignment w:val="auto"/>
              <w:rPr>
                <w:rFonts w:hint="eastAsia" w:ascii="楷体" w:hAnsi="楷体" w:eastAsia="楷体" w:cs="楷体"/>
                <w:b w:val="0"/>
                <w:bCs w:val="0"/>
                <w:color w:val="000000" w:themeColor="text1"/>
                <w:sz w:val="32"/>
                <w:szCs w:val="32"/>
                <w:lang w:val="en-US" w:eastAsia="zh-CN"/>
                <w14:textFill>
                  <w14:solidFill>
                    <w14:schemeClr w14:val="tx1"/>
                  </w14:solidFill>
                </w14:textFill>
              </w:rPr>
            </w:pPr>
            <w:r>
              <w:rPr>
                <w:rFonts w:hint="eastAsia" w:ascii="楷体" w:hAnsi="楷体" w:eastAsia="楷体" w:cs="楷体"/>
                <w:b/>
                <w:bCs/>
                <w:color w:val="000000" w:themeColor="text1"/>
                <w:sz w:val="32"/>
                <w:szCs w:val="32"/>
                <w:lang w:val="en-US" w:eastAsia="zh-CN"/>
                <w14:textFill>
                  <w14:solidFill>
                    <w14:schemeClr w14:val="tx1"/>
                  </w14:solidFill>
                </w14:textFill>
              </w:rPr>
              <w:t>健康保障工程：</w:t>
            </w:r>
            <w:r>
              <w:rPr>
                <w:rFonts w:hint="eastAsia" w:ascii="楷体" w:hAnsi="楷体" w:eastAsia="楷体" w:cs="楷体"/>
                <w:b w:val="0"/>
                <w:bCs w:val="0"/>
                <w:color w:val="000000" w:themeColor="text1"/>
                <w:sz w:val="32"/>
                <w:szCs w:val="32"/>
                <w:lang w:val="en-US" w:eastAsia="zh-CN"/>
                <w14:textFill>
                  <w14:solidFill>
                    <w14:schemeClr w14:val="tx1"/>
                  </w14:solidFill>
                </w14:textFill>
              </w:rPr>
              <w:t>个性化儿牙早期矫治项目、海口湖田园康养及残疾人康复中心项目、黄石·金海女儿山能量康养小镇度假区项目</w:t>
            </w:r>
          </w:p>
          <w:p w14:paraId="617D68C2">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3" w:firstLineChars="200"/>
              <w:textAlignment w:val="auto"/>
              <w:rPr>
                <w:rFonts w:hint="default" w:ascii="楷体" w:hAnsi="楷体" w:eastAsia="楷体" w:cs="楷体"/>
                <w:b w:val="0"/>
                <w:bCs w:val="0"/>
                <w:color w:val="000000" w:themeColor="text1"/>
                <w:sz w:val="32"/>
                <w:szCs w:val="32"/>
                <w:lang w:val="en-US" w:eastAsia="zh-CN"/>
                <w14:textFill>
                  <w14:solidFill>
                    <w14:schemeClr w14:val="tx1"/>
                  </w14:solidFill>
                </w14:textFill>
              </w:rPr>
            </w:pPr>
            <w:r>
              <w:rPr>
                <w:rFonts w:hint="eastAsia" w:ascii="楷体" w:hAnsi="楷体" w:eastAsia="楷体" w:cs="楷体"/>
                <w:b/>
                <w:bCs/>
                <w:color w:val="000000" w:themeColor="text1"/>
                <w:sz w:val="32"/>
                <w:szCs w:val="32"/>
                <w:lang w:val="en-US" w:eastAsia="zh-CN"/>
                <w14:textFill>
                  <w14:solidFill>
                    <w14:schemeClr w14:val="tx1"/>
                  </w14:solidFill>
                </w14:textFill>
              </w:rPr>
              <w:t>全民健身体系工程</w:t>
            </w:r>
            <w:r>
              <w:rPr>
                <w:rFonts w:hint="eastAsia" w:ascii="楷体" w:hAnsi="楷体" w:eastAsia="楷体" w:cs="楷体"/>
                <w:b w:val="0"/>
                <w:bCs w:val="0"/>
                <w:color w:val="000000" w:themeColor="text1"/>
                <w:sz w:val="32"/>
                <w:szCs w:val="32"/>
                <w:lang w:val="en-US" w:eastAsia="zh-CN"/>
                <w14:textFill>
                  <w14:solidFill>
                    <w14:schemeClr w14:val="tx1"/>
                  </w14:solidFill>
                </w14:textFill>
              </w:rPr>
              <w:t>：海口湖环湖健身步道项目、镇区文体中心（篮球训练中心）</w:t>
            </w:r>
          </w:p>
        </w:tc>
      </w:tr>
    </w:tbl>
    <w:p w14:paraId="2E85FB2C">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jc w:val="center"/>
        <w:textAlignment w:val="auto"/>
        <w:outlineLvl w:val="0"/>
        <w:rPr>
          <w:rFonts w:hint="eastAsia"/>
          <w:color w:val="000000" w:themeColor="text1"/>
          <w:lang w:val="en-US" w:eastAsia="zh-CN"/>
          <w14:textFill>
            <w14:solidFill>
              <w14:schemeClr w14:val="tx1"/>
            </w14:solidFill>
          </w14:textFill>
        </w:rPr>
      </w:pPr>
      <w:bookmarkStart w:id="184" w:name="_Toc27374"/>
      <w:bookmarkStart w:id="185" w:name="_Toc9242"/>
    </w:p>
    <w:p w14:paraId="1A5C40EA">
      <w:pPr>
        <w:rPr>
          <w:rFonts w:hint="eastAsia"/>
          <w:color w:val="000000" w:themeColor="text1"/>
          <w:lang w:val="en-US" w:eastAsia="zh-CN"/>
          <w14:textFill>
            <w14:solidFill>
              <w14:schemeClr w14:val="tx1"/>
            </w14:solidFill>
          </w14:textFill>
        </w:rPr>
      </w:pPr>
    </w:p>
    <w:p w14:paraId="114DE0F8">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jc w:val="center"/>
        <w:textAlignment w:val="auto"/>
        <w:outlineLvl w:val="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 xml:space="preserve">第二节 </w:t>
      </w:r>
      <w:r>
        <w:rPr>
          <w:rFonts w:hint="eastAsia"/>
          <w:color w:val="000000" w:themeColor="text1"/>
          <w14:textFill>
            <w14:solidFill>
              <w14:schemeClr w14:val="tx1"/>
            </w14:solidFill>
          </w14:textFill>
        </w:rPr>
        <w:t>深化城乡融合发展</w:t>
      </w:r>
      <w:bookmarkEnd w:id="183"/>
      <w:bookmarkEnd w:id="184"/>
      <w:bookmarkEnd w:id="185"/>
    </w:p>
    <w:p w14:paraId="1AB6BC54">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40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64DA28A4">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统筹推进农业生产提质、乡村特色产业升级、海口湖片区产城融合、“港产文旅”深度融合。到2030年，农村生活污水治理率达50%，乡村产业带动2000余农户稳定增收。</w:t>
      </w:r>
    </w:p>
    <w:p w14:paraId="2AD17DCD">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一、推进乡村全面振兴。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夯实农业生产根基，推进高标准农田建设，新增高产示范田500亩以上，主要农作物耕种收综合机械化率提升至85%以上。做强金海白茶、𣲗源口螃蟹两大国家地理标志产业，建设白茶标准化种植基地5000亩、螃蟹生态养殖区3000亩，引进深加工企业，培育市级以上农业龙头企业3家，推动金海农发公司争创省级农业产业化龙头企业。实施农村人居环境整治提升，推进27个行政村主干道沿线及集中居住点污水管网建设，实现园区自来水管网连接各村。以“四好农村路”和寄递物流点工程为基础，健全村组公路，推动春湖环湖路等道路硬化刷黑，推动集中连片社区、村开展寄递物流工作。</w:t>
      </w:r>
    </w:p>
    <w:p w14:paraId="6164A07E">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二、推动海口湖片区开发。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集中建设行政办公集群，整合政务服务资源；规划文化体育中心，配套图书馆、体育馆、城市书屋；建设现代化商业广场与金海商贸中心综合体，引入连锁商超、品牌餐饮、亲子游乐等业态。开发高端旅居康养社区，配套嵌入式护理站、康复理疗室；布局九年一贯制学校、社区卫生服务中心、养老服务站、便民菜市场，构建"15分钟宜居生活圈"。建立片区公共服务向乡村辐射机制，推动农村人口向新城有序转移，促进城乡基本公共服务均等化。</w:t>
      </w:r>
    </w:p>
    <w:p w14:paraId="6EC0C462">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三、构建特色文旅新格局。</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重点培育三大线路，港口体验游串联港口作业区、港口文化展示中心，推出码头观摩、集装箱研学、夜间游船观景等项目；森林康养游以女儿山、海口湖为核心，建设登山步道、森林氧吧、露营基地，联动金海白茶基地开发采茶体验、茶文化研学；乡村休闲游整合韦源口螃蟹养殖区、经天村田园综合体，打造垂钓体验、农耕采摘、乡村民宿等场景，持续办好白茶节、螃蟹节。联动低空经济开通"海口湖—大冶湖"观光航线；依托综保区开发跨境电商特色产品体验店。沿线增设观景台、休息亭、旅游厕所，建设特色民宿与主题酒店，完善智慧导览系统。</w:t>
      </w:r>
    </w:p>
    <w:p w14:paraId="43C73F66">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left="0" w:leftChars="0" w:firstLine="0" w:firstLineChars="0"/>
        <w:jc w:val="center"/>
        <w:textAlignment w:val="auto"/>
        <w:rPr>
          <w:rFonts w:hint="eastAsia" w:ascii="黑体" w:hAnsi="黑体" w:eastAsia="黑体" w:cs="黑体"/>
          <w:color w:val="000000" w:themeColor="text1"/>
          <w:sz w:val="32"/>
          <w:szCs w:val="32"/>
          <w:lang w:val="en-US" w:eastAsia="zh-CN"/>
          <w14:textFill>
            <w14:solidFill>
              <w14:schemeClr w14:val="tx1"/>
            </w14:solidFill>
          </w14:textFill>
        </w:rPr>
      </w:pPr>
      <w:bookmarkStart w:id="186" w:name="_Toc2095"/>
    </w:p>
    <w:p w14:paraId="149A43DA">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left="0" w:leftChars="0" w:firstLine="0" w:firstLineChars="0"/>
        <w:jc w:val="center"/>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专栏14：新港园区城乡融合发工程</w:t>
      </w:r>
    </w:p>
    <w:tbl>
      <w:tblPr>
        <w:tblStyle w:val="11"/>
        <w:tblW w:w="0" w:type="auto"/>
        <w:tblInd w:w="1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20"/>
      </w:tblGrid>
      <w:tr w14:paraId="34F19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0" w:type="dxa"/>
          </w:tcPr>
          <w:p w14:paraId="03FBFA71">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3" w:firstLineChars="200"/>
              <w:textAlignment w:val="auto"/>
              <w:rPr>
                <w:rFonts w:hint="eastAsia" w:ascii="楷体" w:hAnsi="楷体" w:eastAsia="楷体" w:cs="楷体"/>
                <w:b w:val="0"/>
                <w:bCs w:val="0"/>
                <w:color w:val="000000" w:themeColor="text1"/>
                <w:sz w:val="32"/>
                <w:szCs w:val="32"/>
                <w:lang w:val="en-US" w:eastAsia="zh-CN"/>
                <w14:textFill>
                  <w14:solidFill>
                    <w14:schemeClr w14:val="tx1"/>
                  </w14:solidFill>
                </w14:textFill>
              </w:rPr>
            </w:pPr>
            <w:r>
              <w:rPr>
                <w:rFonts w:hint="eastAsia" w:ascii="楷体" w:hAnsi="楷体" w:eastAsia="楷体" w:cs="楷体"/>
                <w:b/>
                <w:bCs/>
                <w:color w:val="000000" w:themeColor="text1"/>
                <w:sz w:val="32"/>
                <w:szCs w:val="32"/>
                <w:lang w:val="en-US" w:eastAsia="zh-CN"/>
                <w14:textFill>
                  <w14:solidFill>
                    <w14:schemeClr w14:val="tx1"/>
                  </w14:solidFill>
                </w14:textFill>
              </w:rPr>
              <w:t>乡村振兴工程：</w:t>
            </w:r>
            <w:r>
              <w:rPr>
                <w:rFonts w:hint="eastAsia" w:ascii="楷体" w:hAnsi="楷体" w:eastAsia="楷体" w:cs="楷体"/>
                <w:b w:val="0"/>
                <w:bCs w:val="0"/>
                <w:color w:val="000000" w:themeColor="text1"/>
                <w:sz w:val="32"/>
                <w:szCs w:val="32"/>
                <w:lang w:val="en-US" w:eastAsia="zh-CN"/>
                <w14:textFill>
                  <w14:solidFill>
                    <w14:schemeClr w14:val="tx1"/>
                  </w14:solidFill>
                </w14:textFill>
              </w:rPr>
              <w:t>金海特色农业发展项目、功能农业科技产业园、海口湖健康鱼科技产业园、智能化养殖基地项目、新港园区农业基地建设项目、大冶湖流域垂钓基地项目、沙湖现代农业基地、智慧农业产业融合发展示范项目、大冶湖南岸生态</w:t>
            </w:r>
            <w:r>
              <w:rPr>
                <w:rFonts w:hint="eastAsia" w:ascii="楷体" w:hAnsi="楷体" w:eastAsia="楷体" w:cs="楷体"/>
                <w:b w:val="0"/>
                <w:bCs w:val="0"/>
                <w:color w:val="000000" w:themeColor="text1"/>
                <w:spacing w:val="-6"/>
                <w:sz w:val="32"/>
                <w:szCs w:val="32"/>
                <w:lang w:val="en-US" w:eastAsia="zh-CN"/>
                <w14:textFill>
                  <w14:solidFill>
                    <w14:schemeClr w14:val="tx1"/>
                  </w14:solidFill>
                </w14:textFill>
              </w:rPr>
              <w:t>养殖加工项目、黄石·金海女儿山万亩茶园高标准产业基地项</w:t>
            </w:r>
            <w:r>
              <w:rPr>
                <w:rFonts w:hint="eastAsia" w:ascii="楷体" w:hAnsi="楷体" w:eastAsia="楷体" w:cs="楷体"/>
                <w:b w:val="0"/>
                <w:bCs w:val="0"/>
                <w:color w:val="000000" w:themeColor="text1"/>
                <w:sz w:val="32"/>
                <w:szCs w:val="32"/>
                <w:lang w:val="en-US" w:eastAsia="zh-CN"/>
                <w14:textFill>
                  <w14:solidFill>
                    <w14:schemeClr w14:val="tx1"/>
                  </w14:solidFill>
                </w14:textFill>
              </w:rPr>
              <w:t>目</w:t>
            </w:r>
          </w:p>
          <w:p w14:paraId="39916BE9">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3" w:firstLineChars="200"/>
              <w:textAlignment w:val="auto"/>
              <w:rPr>
                <w:rFonts w:hint="eastAsia" w:ascii="楷体" w:hAnsi="楷体" w:eastAsia="楷体" w:cs="楷体"/>
                <w:b w:val="0"/>
                <w:bCs w:val="0"/>
                <w:color w:val="000000" w:themeColor="text1"/>
                <w:sz w:val="32"/>
                <w:szCs w:val="32"/>
                <w:lang w:val="en-US" w:eastAsia="zh-CN"/>
                <w14:textFill>
                  <w14:solidFill>
                    <w14:schemeClr w14:val="tx1"/>
                  </w14:solidFill>
                </w14:textFill>
              </w:rPr>
            </w:pPr>
            <w:r>
              <w:rPr>
                <w:rFonts w:hint="eastAsia" w:ascii="楷体" w:hAnsi="楷体" w:eastAsia="楷体" w:cs="楷体"/>
                <w:b/>
                <w:bCs/>
                <w:color w:val="000000" w:themeColor="text1"/>
                <w:sz w:val="32"/>
                <w:szCs w:val="32"/>
                <w:lang w:val="en-US" w:eastAsia="zh-CN"/>
                <w14:textFill>
                  <w14:solidFill>
                    <w14:schemeClr w14:val="tx1"/>
                  </w14:solidFill>
                </w14:textFill>
              </w:rPr>
              <w:t>海口湖片区开发：</w:t>
            </w:r>
            <w:r>
              <w:rPr>
                <w:rFonts w:hint="eastAsia" w:ascii="楷体" w:hAnsi="楷体" w:eastAsia="楷体" w:cs="楷体"/>
                <w:b w:val="0"/>
                <w:bCs w:val="0"/>
                <w:color w:val="000000" w:themeColor="text1"/>
                <w:sz w:val="32"/>
                <w:szCs w:val="32"/>
                <w:lang w:val="en-US" w:eastAsia="zh-CN"/>
                <w14:textFill>
                  <w14:solidFill>
                    <w14:schemeClr w14:val="tx1"/>
                  </w14:solidFill>
                </w14:textFill>
              </w:rPr>
              <w:t>海口湖先进材料谷和宜居康养片区开发项目、海口湖管理区城中村改造项目、科创岛二期、海口湖绿色制造产业园与商业综合体建设项目、海口湖现代化商业广场、海口湖科创研学基地建设项目</w:t>
            </w:r>
          </w:p>
          <w:p w14:paraId="6C474996">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3" w:firstLineChars="200"/>
              <w:textAlignment w:val="auto"/>
              <w:rPr>
                <w:rFonts w:hint="default" w:ascii="楷体" w:hAnsi="楷体" w:eastAsia="楷体" w:cs="楷体"/>
                <w:b w:val="0"/>
                <w:bCs w:val="0"/>
                <w:color w:val="000000" w:themeColor="text1"/>
                <w:sz w:val="32"/>
                <w:szCs w:val="32"/>
                <w:lang w:val="en-US" w:eastAsia="zh-CN"/>
                <w14:textFill>
                  <w14:solidFill>
                    <w14:schemeClr w14:val="tx1"/>
                  </w14:solidFill>
                </w14:textFill>
              </w:rPr>
            </w:pPr>
            <w:r>
              <w:rPr>
                <w:rFonts w:hint="eastAsia" w:ascii="楷体" w:hAnsi="楷体" w:eastAsia="楷体" w:cs="楷体"/>
                <w:b/>
                <w:bCs/>
                <w:color w:val="000000" w:themeColor="text1"/>
                <w:sz w:val="32"/>
                <w:szCs w:val="32"/>
                <w:lang w:val="en-US" w:eastAsia="zh-CN"/>
                <w14:textFill>
                  <w14:solidFill>
                    <w14:schemeClr w14:val="tx1"/>
                  </w14:solidFill>
                </w14:textFill>
              </w:rPr>
              <w:t>特色文旅工程</w:t>
            </w:r>
            <w:r>
              <w:rPr>
                <w:rFonts w:hint="eastAsia" w:ascii="楷体" w:hAnsi="楷体" w:eastAsia="楷体" w:cs="楷体"/>
                <w:b w:val="0"/>
                <w:bCs w:val="0"/>
                <w:color w:val="000000" w:themeColor="text1"/>
                <w:sz w:val="32"/>
                <w:szCs w:val="32"/>
                <w:lang w:val="en-US" w:eastAsia="zh-CN"/>
                <w14:textFill>
                  <w14:solidFill>
                    <w14:schemeClr w14:val="tx1"/>
                  </w14:solidFill>
                </w14:textFill>
              </w:rPr>
              <w:t>：西山村文旅融合项目、春湖公园提升工程、金海女儿山4A风景区创建项目、干鱼山特色文旅项目、新港园区环大冶湖民宿文旅项目、新港园区白茶文旅小镇项目、竹溪州水上乐园度假村、韦山公园AAA景区项目</w:t>
            </w:r>
          </w:p>
        </w:tc>
      </w:tr>
    </w:tbl>
    <w:p w14:paraId="50ED8CEC">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40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6E27FD26">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jc w:val="center"/>
        <w:textAlignment w:val="auto"/>
        <w:outlineLvl w:val="0"/>
        <w:rPr>
          <w:rFonts w:hint="eastAsia"/>
          <w:color w:val="000000" w:themeColor="text1"/>
          <w:lang w:val="en-US" w:eastAsia="zh-CN"/>
          <w14:textFill>
            <w14:solidFill>
              <w14:schemeClr w14:val="tx1"/>
            </w14:solidFill>
          </w14:textFill>
        </w:rPr>
      </w:pPr>
      <w:bookmarkStart w:id="187" w:name="_Toc7826"/>
      <w:bookmarkStart w:id="188" w:name="_Toc25836"/>
    </w:p>
    <w:p w14:paraId="494CB741">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jc w:val="center"/>
        <w:textAlignment w:val="auto"/>
        <w:outlineLvl w:val="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 xml:space="preserve">第三节 </w:t>
      </w:r>
      <w:r>
        <w:rPr>
          <w:rFonts w:hint="eastAsia"/>
          <w:color w:val="000000" w:themeColor="text1"/>
          <w14:textFill>
            <w14:solidFill>
              <w14:schemeClr w14:val="tx1"/>
            </w14:solidFill>
          </w14:textFill>
        </w:rPr>
        <w:t>强化民生保障支撑</w:t>
      </w:r>
      <w:bookmarkEnd w:id="186"/>
      <w:bookmarkEnd w:id="187"/>
      <w:bookmarkEnd w:id="188"/>
    </w:p>
    <w:p w14:paraId="6E6B40BD">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40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4549B31E">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以就业保障、社保扩面、养老提质为重点，构建全链条就业服务、全覆盖社会保障、多元化养老服务体系。到2030年，定向培养紧缺领域技术工人1000人次以上，城镇调查失业率控制在合理区间。</w:t>
      </w:r>
    </w:p>
    <w:p w14:paraId="277D26DA">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一、稳定就业创业。</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紧扣产业需求构建“培养—就业—创业—服务”全链条机制。推动低碳冶金、粮食加工等企业与院校合作开设订单班，针对高纯铜加工、精密铸造、智慧物流等紧缺领域定向培育技术工人，实现“入学即定岗、毕业即就业”。整合闲置资产打造返乡创业孵化基地，落实创业补贴、信贷支持等政策，引导返乡人员围绕产业配套、农产品加工、电商物流等领域创业。建成园区与村级就业服务站，搭建用工对接平台，定期开展专场招聘，精准匹配供需。开发公益性岗位，重点帮扶低保对象、残疾人、脱贫户等群体，做好新就业形态劳动者服务保障。</w:t>
      </w:r>
    </w:p>
    <w:p w14:paraId="61E7B886">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二、健全社会保障。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搭建多部门联动的社会救助大数据平台，精准识别困难群众，实行常态化排查与个性化救助，做到应保尽保、精准施救。聚焦灵活就业人员、农民工、新业态从业者，推行线上参保与基层代办，扩大养老保险覆盖面。推动社保服务下沉基层，实现参保登记、查询、申领等事项就近可办，健全待遇正常调整机制，持续提升保障水平。</w:t>
      </w:r>
    </w:p>
    <w:p w14:paraId="66E2090D">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三、构建多元化养老生态。</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聚焦老有所养、老有所乐，完善社区养老服务供给。新建3个社区养老服务中心，升级韦源口社区幸福食堂与三洲村老年学校，推行政府补贴、社会运营、爱心助餐模式。联合医疗机构设置嵌入式医务室，提供诊疗、体检、上门服务，配齐康复设施与专业人员，丰富老年文体活动。深化校地合作培育养老护理队伍，推广“居家+社区+智慧”养老模式，配备智能护理、紧急呼叫等设备，打造便捷暖心的养老服务体系。</w:t>
      </w:r>
    </w:p>
    <w:p w14:paraId="54ED3501">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400" w:lineRule="exact"/>
        <w:ind w:firstLine="420" w:firstLineChars="200"/>
        <w:textAlignment w:val="auto"/>
        <w:outlineLvl w:val="9"/>
        <w:rPr>
          <w:rFonts w:hint="eastAsia"/>
          <w:color w:val="000000" w:themeColor="text1"/>
          <w:lang w:val="en-US" w:eastAsia="zh-CN"/>
          <w14:textFill>
            <w14:solidFill>
              <w14:schemeClr w14:val="tx1"/>
            </w14:solidFill>
          </w14:textFill>
        </w:rPr>
      </w:pPr>
      <w:bookmarkStart w:id="189" w:name="_Toc10938"/>
    </w:p>
    <w:p w14:paraId="69A807AC">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jc w:val="center"/>
        <w:textAlignment w:val="auto"/>
        <w:outlineLvl w:val="0"/>
        <w:rPr>
          <w:rFonts w:hint="eastAsia"/>
          <w:color w:val="000000" w:themeColor="text1"/>
          <w14:textFill>
            <w14:solidFill>
              <w14:schemeClr w14:val="tx1"/>
            </w14:solidFill>
          </w14:textFill>
        </w:rPr>
      </w:pPr>
      <w:bookmarkStart w:id="190" w:name="_Toc22819"/>
      <w:bookmarkStart w:id="191" w:name="_Toc22881"/>
      <w:r>
        <w:rPr>
          <w:rFonts w:hint="eastAsia"/>
          <w:color w:val="000000" w:themeColor="text1"/>
          <w:lang w:val="en-US" w:eastAsia="zh-CN"/>
          <w14:textFill>
            <w14:solidFill>
              <w14:schemeClr w14:val="tx1"/>
            </w14:solidFill>
          </w14:textFill>
        </w:rPr>
        <w:t xml:space="preserve">第四节 </w:t>
      </w:r>
      <w:r>
        <w:rPr>
          <w:rFonts w:hint="eastAsia"/>
          <w:color w:val="000000" w:themeColor="text1"/>
          <w14:textFill>
            <w14:solidFill>
              <w14:schemeClr w14:val="tx1"/>
            </w14:solidFill>
          </w14:textFill>
        </w:rPr>
        <w:t>强化安全生产监管</w:t>
      </w:r>
      <w:bookmarkEnd w:id="189"/>
      <w:bookmarkEnd w:id="190"/>
      <w:bookmarkEnd w:id="191"/>
    </w:p>
    <w:p w14:paraId="285C9403">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40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19638D8E">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192" w:name="_Toc392"/>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全领域安全监管、实战化应急处置、全域化消防保障与立体化治安防控为重点，构建精准化安全监管体系、高效能应急处置能力、全覆盖消防防护屏障与智能化治安防控网络。到2030年，企业安全风险分级管控与隐患排查治理双重机制全面落地。</w:t>
      </w:r>
    </w:p>
    <w:p w14:paraId="79B0BE8C">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一、完善安全监管体系。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构建覆盖工业生产、港口作业、交通运输、危化品存储、工贸等重点领域的安全生产监管网络，针对高危行业制定差异化监管标准。推行企业“一企一档”动态管理，建立红、橙、黄、蓝四级风险分级管控与隐患排查治理双重机制，强化高危环节智能监控设备部署，接入安全风险智能管控平台，实现高温、泄漏等风险实时预警。深化“服务+执法”模式，创新“安全积分银行”激励机制，压实企业主体责任，实现全员安全培训常态化开展。</w:t>
      </w:r>
    </w:p>
    <w:p w14:paraId="669713F4">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二、提升应急处置能力。</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编制火灾、危化品泄漏、港口作业事故、自然灾害等专项应急预案，明确响应流程与责任分工，建立常态化跨部门实战演练机制。深化“政企医警”多元协同联动，整合消防、企业、医疗、公安等应急力量组建专业救援队伍，与港口公司、重点工业企业共建专职救援力量，深度参与“长江中游园区应急联盟”，健全跨区域事故互助机制。构建“核心库+专业点+基层点”多层次应急物资储备网络，建设综合性应急物资储备库，在港口、重大危险源区域设置专业物资点，与重点施工单位签订工程机械应急征用协议，完善物资动态补充机制。搭建“1+4+N”一体化应急管理平台，联通安全生产、自然灾害等监测系统与企业风险监控终端，实现风险监测、指挥调度、数据共享高效协同，全面提升应急响应速度与处置精度。</w:t>
      </w:r>
    </w:p>
    <w:p w14:paraId="3F3414B2">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三、夯实消防安全屏障。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建成海口湖管理区小型消防站，配备专业消防装备与举高喷射消防车，构建“1分钟出警、5分钟到场、15分钟处置”的快速响应圈，提升初期火灾扑救成功率。推进市政消防栓全面整改，5年内完成全部老化破损设施更换，新增市政消防栓50个，重点覆盖港口岸线、产业园区等关键区域，建设双回路消防水源保障体系，确保消防供水稳定。推动企业消防安全标准化全覆盖，指导高危企业建立专职消防队，中小微企业按标准建设微型消防站，实现自然村微型消防站全域覆盖。实施消防队伍精英化培育计划，每年选拔业务骨干开展复杂场景救援专项培训，强化跨部门实战演练，建立技术等级与薪酬待遇、晋升通道双挂钩机制，优化队员保障政策，提升队伍专业素养与稳定性。</w:t>
      </w:r>
    </w:p>
    <w:p w14:paraId="002F0AEC">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四、强化治安防控。</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深化“科技赋能+联动巡防+重点管控”模式，升级“雪亮工程”安防监控系统，将覆盖范围延伸至港口作业区、产业园区、社区乡村等关键区域，配齐基层执勤队站无线通信、5G设备、无人机、卫星电话等专业通信装备。实行“警格+网格”联动巡防机制，提升治安巡防密度，常态化开展扫黑除恶与违法犯罪打击行动，确保重点领域治安稳定。加强学校、医院、港口、人员密集场所安全管控，配备专业安防设备与安保人员，建立定期隐患排查机制。构建“城乡联动、全域覆盖”的消防宣传格局，持续推进消防安全教育“五进”工作，通过园区广播、电子屏、公众号等多渠道传播安全知识，培育消防安全“明白人”，全面提升群众安全意识与自防自救能力。</w:t>
      </w:r>
    </w:p>
    <w:p w14:paraId="4C3C1A77">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jc w:val="center"/>
        <w:textAlignment w:val="auto"/>
        <w:outlineLvl w:val="0"/>
        <w:rPr>
          <w:rFonts w:hint="eastAsia"/>
          <w:color w:val="000000" w:themeColor="text1"/>
          <w:lang w:val="en-US" w:eastAsia="zh-CN"/>
          <w14:textFill>
            <w14:solidFill>
              <w14:schemeClr w14:val="tx1"/>
            </w14:solidFill>
          </w14:textFill>
        </w:rPr>
      </w:pPr>
      <w:bookmarkStart w:id="193" w:name="_Toc31732"/>
      <w:bookmarkStart w:id="194" w:name="_Toc21990"/>
    </w:p>
    <w:p w14:paraId="24A2267D">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jc w:val="center"/>
        <w:textAlignment w:val="auto"/>
        <w:outlineLvl w:val="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 xml:space="preserve">第五节 </w:t>
      </w:r>
      <w:r>
        <w:rPr>
          <w:rFonts w:hint="eastAsia"/>
          <w:color w:val="000000" w:themeColor="text1"/>
          <w14:textFill>
            <w14:solidFill>
              <w14:schemeClr w14:val="tx1"/>
            </w14:solidFill>
          </w14:textFill>
        </w:rPr>
        <w:t>筑牢安全保障能力</w:t>
      </w:r>
      <w:bookmarkEnd w:id="192"/>
      <w:bookmarkEnd w:id="193"/>
      <w:bookmarkEnd w:id="194"/>
    </w:p>
    <w:p w14:paraId="2379CA89">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40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316ED9A8">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粮食、能源、产业链供应链、金融、食品药品、交通、公共卫生七大领域为重点，构建“供应稳定、风险可控、应急高效”的全链条安全保障体系。到2030年，能源综合保障能力达15万吨标煤、新能源及综合利用发电装机规模超35万千瓦，食品药品安全事故零发生，金融领域无重大风险事件，公共卫生应急响应效能显著提升。</w:t>
      </w:r>
    </w:p>
    <w:p w14:paraId="7379F79D">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一、筑牢粮食安全。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严守3.89万亩耕地和1.6万亩永久基本农田红线，坚决遏制耕地“非农化”、防止“非粮化”。重点改造提升屋边、四松、新港等高产示范基地，完善灌溉排水、田间道路、土壤改良等配套工程，推进高标准农田建设。推广良种良法配套，扩大优质稻、双低油菜等高产稳产品种种植面积，主要农作物耕种收综合机械化率提升至85%以上。</w:t>
      </w:r>
    </w:p>
    <w:p w14:paraId="13AAD512">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二、构建多元稳定供能体系。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锚定碳达峰碳中和目标，打造“光伏+氢能+储能”多元能源供应格局。推动工业厂房屋顶光伏全覆盖，建设“光储氢”一体化系统与分布式储能电站，配套220kV变电站及天然气管道等基础设施，到2030年能源综合保障能力达15万吨标煤，新能源及综合利用发电装机规模超35万千瓦。推广余热发电、光伏供电等低碳技术，推进港口机械氢能化改造及冶金、建材等产业节能改造。建立能源消费动态监测平台，完善天然气、电力应急调度机制，储备关键能源物资，提升极端情况下能源稳定供应能力。</w:t>
      </w:r>
    </w:p>
    <w:p w14:paraId="795289AF">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三、提升产业链供应链韧性和安全水平。</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 xml:space="preserve"> 建立风险监测预警机制，聚焦</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低碳冶金</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粮食加工等主导产业，重点监测铜精矿、铁矿石、粮食等大宗商品价格波动与海外供应稳定性。依托大宗商品资源配置枢纽和进境粮食指定监管场地，加大战略物资储备能力，支持龙头企业拓展海外直采渠道。主动对接省级供应链平台，推进上下游协同发展。加密国际物流通道，强化花湖机场空港联动，建立物流通道应急替代机制。制定供应链安全应急预案，设立重点企业“白名单”，整合海关、港口等多源数据实现实时预警，定期开展压力测试，全面提升园区抗风险能力。</w:t>
      </w:r>
    </w:p>
    <w:p w14:paraId="25733352">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四、织密金融风险防控网络。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建立“监管联动、监测预警、宣传引导”三位一体金融安全体系。组建发改、金融、市场监管等多部门联动监管专班，常态化排查产业链金融、跨境贸易金融等领域风险，严把地方金融组织准入关。构建覆盖园区、企业、村组的风险监测网络，动态预警非法金融活动，实现风险早识别、早处置。开展“金融安全进企业、进乡村”系列活动，普及非法集资、电信诈骗等风险防范知识，杜绝重大金融风险事件发生。</w:t>
      </w:r>
    </w:p>
    <w:p w14:paraId="0000FBFB">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五、严守食品药品安全底线。</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落实“四个最严”要求，构建“源头管控—过程监管—末端追溯”全链条防控体系。强化进境食品、粮食加工产品、生物医药等重点领域检验检疫，严把港口进口关；规范食品生产企业加工流程，严控添加剂使用。对餐饮门店、药店实施常态化检查，加大假冒伪劣、过期变质等违法行为查处力度；推进农贸市场规范化改造，落实索证索票与进货查验制度。运用“线上追溯+线下抽检”结合模式，搭建食品药品质量追溯平台，实现从生产到消费全程可查可溯，确保安全事故零发生。</w:t>
      </w:r>
    </w:p>
    <w:p w14:paraId="1596553A">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六、畅通立体交通安全网络。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聚焦港口作业、疏港运输、城乡通行三大场景，定期对港口码头、疏港铁路、高速及支线道路开展安全隐患排查，整改老旧破损设施，优化港区交通流线与标识体系。规范货运车辆、滚装运输秩序，加大超载、超速等违法行为查处力度；推广新能源运输工具，提升港口机械与物流车辆安全性能。完善交通事故应急预案，开展多部门联合演练，在港口作业区、交通枢纽配套应急救援设备与人员，提升突发事件快速响应与处置能力。</w:t>
      </w:r>
    </w:p>
    <w:p w14:paraId="7A9F08E2">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七、健全公共卫生安全体系。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预防为主、防治结合”为原则，健全传染病监测预警网络，升级园区疾控分中心检测能力，实现重点传染病早发现、早处置；建立突发公共卫生事件信息共享机制，提升预警精准度。完善应急预案体系，储备足量医疗物资，强化与周边医疗机构联动，提升疫情防控、突发公共卫生事件处置的协同能力。深化慢性病综合防控，普及健康生活方式；发展“互联网+医疗健康”服务，推广远程诊疗、在线复诊，提升全民健康保障水平。</w:t>
      </w:r>
    </w:p>
    <w:p w14:paraId="597F1C87">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40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195" w:name="_Toc31229"/>
    </w:p>
    <w:p w14:paraId="518EB05F">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620" w:lineRule="exact"/>
        <w:jc w:val="center"/>
        <w:textAlignment w:val="auto"/>
        <w:outlineLvl w:val="0"/>
        <w:rPr>
          <w:rFonts w:hint="eastAsia"/>
          <w:color w:val="000000" w:themeColor="text1"/>
          <w14:textFill>
            <w14:solidFill>
              <w14:schemeClr w14:val="tx1"/>
            </w14:solidFill>
          </w14:textFill>
        </w:rPr>
      </w:pPr>
      <w:bookmarkStart w:id="196" w:name="_Toc27302"/>
      <w:bookmarkStart w:id="197" w:name="_Toc3866"/>
      <w:r>
        <w:rPr>
          <w:rFonts w:hint="eastAsia"/>
          <w:color w:val="000000" w:themeColor="text1"/>
          <w:lang w:val="en-US" w:eastAsia="zh-CN"/>
          <w14:textFill>
            <w14:solidFill>
              <w14:schemeClr w14:val="tx1"/>
            </w14:solidFill>
          </w14:textFill>
        </w:rPr>
        <w:t xml:space="preserve">第六节 </w:t>
      </w:r>
      <w:r>
        <w:rPr>
          <w:rFonts w:hint="eastAsia"/>
          <w:color w:val="000000" w:themeColor="text1"/>
          <w14:textFill>
            <w14:solidFill>
              <w14:schemeClr w14:val="tx1"/>
            </w14:solidFill>
          </w14:textFill>
        </w:rPr>
        <w:t>深化社会治理与法治建设</w:t>
      </w:r>
      <w:bookmarkEnd w:id="195"/>
      <w:bookmarkEnd w:id="196"/>
      <w:bookmarkEnd w:id="197"/>
    </w:p>
    <w:p w14:paraId="192B7C09">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40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198" w:name="_Toc12657"/>
      <w:bookmarkStart w:id="199" w:name="_Toc6250"/>
      <w:bookmarkStart w:id="200" w:name="_Toc26372"/>
    </w:p>
    <w:bookmarkEnd w:id="198"/>
    <w:bookmarkEnd w:id="199"/>
    <w:bookmarkEnd w:id="200"/>
    <w:p w14:paraId="4F7132BA">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7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201" w:name="_Toc8781"/>
      <w:bookmarkStart w:id="202" w:name="_Toc3643"/>
      <w:bookmarkStart w:id="203" w:name="_Toc24065"/>
      <w:bookmarkStart w:id="204" w:name="_Toc10112"/>
      <w:bookmarkStart w:id="205" w:name="_Toc3874"/>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网格化管理、群防群治、矛盾风险防控、公共安全保障、法治建设协同发力为重点，着力构建精细化网格化管理体系、多元联动矛盾化解机制、立体化公共安全防控网络与全方位法治化营商环境。到2030年，网格覆盖率保持100%、网格事件办结率达98%、群众满意度不低于95%。</w:t>
      </w:r>
    </w:p>
    <w:p w14:paraId="16E3005A">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7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一、优化网格化管理。</w:t>
      </w:r>
      <w:bookmarkEnd w:id="201"/>
      <w:bookmarkEnd w:id="202"/>
      <w:bookmarkEnd w:id="203"/>
      <w:bookmarkEnd w:id="204"/>
      <w:bookmarkEnd w:id="205"/>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深化“园区—镇（区）—村（社区）—网格”四级管理体系，科学划分专属网格与综合网格，将企业、港口枢纽、重点项目全面纳入管理，实现网格覆盖率100%。加快推进社会矛盾纠纷排查化解系统平台应用，深化“共享警务法庭”机制，做实社会治理数据基础，提升矛盾纠纷联调、特殊人员服务、风险隐患处置能力，确保网格事件办结率达98%，群众满意度不低于95%。创新“综治中心+社会组织+群众自治”多元共治模式，畅通企业与居民参与渠道，形成共建共治共享格局。完善人民调解员培训、考核、激励等制度，培育具有新港特色品牌，推动人民调解与基层治理深度融合，形成“网格员+民警+人民调解员”协同作战模式。</w:t>
      </w:r>
    </w:p>
    <w:p w14:paraId="22B1A5FD">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206" w:name="_Toc2219"/>
      <w:bookmarkStart w:id="207" w:name="_Toc23810"/>
      <w:bookmarkStart w:id="208" w:name="_Toc19955"/>
      <w:bookmarkStart w:id="209" w:name="_Toc13756"/>
      <w:bookmarkStart w:id="210" w:name="_Toc31549"/>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二、强化矛盾风险防控。</w:t>
      </w:r>
      <w:bookmarkEnd w:id="206"/>
      <w:bookmarkEnd w:id="207"/>
      <w:bookmarkEnd w:id="208"/>
      <w:bookmarkEnd w:id="209"/>
      <w:bookmarkEnd w:id="210"/>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加强涉稳风险源头治理，落实事权匹配、分级负责原则，完善协同配合处置机制，健全重大决策和重大项目社会稳定风险评估体系。构建“警调对接”“访调对接”“诉调对接”多元调处机制，设立行业性调解室，推进社会矛盾多元化解。推进信访工作法治化，畅通和规范群众诉求表达、利益协调、权益保障渠道；落实领导干部接访下访包案制度，开展重复信访积案专项治理。</w:t>
      </w:r>
    </w:p>
    <w:p w14:paraId="0679D265">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211" w:name="_Toc15617"/>
      <w:bookmarkStart w:id="212" w:name="_Toc28817"/>
      <w:bookmarkStart w:id="213" w:name="_Toc4283"/>
      <w:bookmarkStart w:id="214" w:name="_Toc32163"/>
      <w:bookmarkStart w:id="215" w:name="_Toc19515"/>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三、筑牢公共安全防线。</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完善立体化社会安全防控体系，依法防范和打击暴力恐怖、极端宗教等违法犯罪，坚决维护政治安全。常态化开展扫黑除恶，严厉打击“黑毒赌黄”等违法活动，强化治安巡防密度，确保八类重大案件破案率达90%以上，传统盗抢骗案件破案率达60%以上。深化“雪亮工程”建设，拓展智能安防应用覆盖范围；加强重点行业、重点部位、人员密集场所安全监管，强化危爆物品、港口沿线、矿山企业等领域安全管理，落实联勤巡逻，坚决遏制安全事故发生。</w:t>
      </w:r>
      <w:bookmarkEnd w:id="211"/>
      <w:bookmarkEnd w:id="212"/>
      <w:bookmarkEnd w:id="213"/>
      <w:bookmarkEnd w:id="214"/>
      <w:bookmarkEnd w:id="215"/>
    </w:p>
    <w:p w14:paraId="0D83619B">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216" w:name="_Toc31707"/>
      <w:bookmarkStart w:id="217" w:name="_Toc28678"/>
      <w:bookmarkStart w:id="218" w:name="_Toc23528"/>
      <w:bookmarkStart w:id="219" w:name="_Toc2807"/>
      <w:bookmarkStart w:id="220" w:name="_Toc31636"/>
      <w:r>
        <w:rPr>
          <w:rStyle w:val="21"/>
          <w:rFonts w:hint="eastAsia" w:ascii="黑体" w:hAnsi="黑体" w:eastAsia="黑体" w:cs="黑体"/>
          <w:b w:val="0"/>
          <w:bCs w:val="0"/>
          <w:color w:val="000000" w:themeColor="text1"/>
          <w:sz w:val="32"/>
          <w:szCs w:val="32"/>
          <w:lang w:val="en-US" w:eastAsia="zh-CN"/>
          <w14:textFill>
            <w14:solidFill>
              <w14:schemeClr w14:val="tx1"/>
            </w14:solidFill>
          </w14:textFill>
        </w:rPr>
        <w:t>四、优化法治发展环境。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健全法治建设体系，完善依法治区委员会组织架构，建立平安建设与法治建设统筹推进机制，将法治要求贯穿决策、执行、监督全流程。强化法治政府建设，加强行政规范性文件合法性审查，推进村务、党务、政务公开标准化规范化，深化执法监督管理机制改革。优化法治化营商环境，定期开展“法治体检”“法援惠民生”等活动，规范涉企警情处置与案件办理，确保涉企案件破案率达60%以上。开展“法治讲堂”“平安法治进基层”等普法宣传活动，培育法治文化阵地，营造尊法学法守法用法的浓厚氛围。</w:t>
      </w:r>
      <w:bookmarkEnd w:id="216"/>
      <w:bookmarkEnd w:id="217"/>
      <w:bookmarkEnd w:id="218"/>
      <w:bookmarkEnd w:id="219"/>
      <w:bookmarkEnd w:id="220"/>
    </w:p>
    <w:p w14:paraId="3131A6F0">
      <w:pPr>
        <w:pStyle w:val="2"/>
        <w:keepNext/>
        <w:keepLines/>
        <w:pageBreakBefore w:val="0"/>
        <w:widowControl w:val="0"/>
        <w:tabs>
          <w:tab w:val="right" w:leader="dot" w:pos="6300"/>
        </w:tabs>
        <w:kinsoku/>
        <w:wordWrap/>
        <w:overflowPunct/>
        <w:topLinePunct w:val="0"/>
        <w:autoSpaceDE/>
        <w:autoSpaceDN/>
        <w:bidi w:val="0"/>
        <w:adjustRightInd/>
        <w:snapToGrid/>
        <w:spacing w:before="0" w:after="0" w:line="600" w:lineRule="exact"/>
        <w:jc w:val="center"/>
        <w:textAlignment w:val="auto"/>
        <w:rPr>
          <w:rFonts w:hint="eastAsia" w:ascii="微软雅黑" w:hAnsi="微软雅黑" w:eastAsia="微软雅黑" w:cs="微软雅黑"/>
          <w:b w:val="0"/>
          <w:bCs/>
          <w:color w:val="000000" w:themeColor="text1"/>
          <w:sz w:val="44"/>
          <w14:textFill>
            <w14:solidFill>
              <w14:schemeClr w14:val="tx1"/>
            </w14:solidFill>
          </w14:textFill>
        </w:rPr>
      </w:pPr>
    </w:p>
    <w:p w14:paraId="72CCC61B">
      <w:pPr>
        <w:rPr>
          <w:rFonts w:hint="eastAsia" w:ascii="微软雅黑" w:hAnsi="微软雅黑" w:eastAsia="微软雅黑" w:cs="微软雅黑"/>
          <w:b w:val="0"/>
          <w:bCs/>
          <w:color w:val="000000" w:themeColor="text1"/>
          <w:sz w:val="44"/>
          <w14:textFill>
            <w14:solidFill>
              <w14:schemeClr w14:val="tx1"/>
            </w14:solidFill>
          </w14:textFill>
        </w:rPr>
      </w:pPr>
    </w:p>
    <w:p w14:paraId="1B05D65F">
      <w:pPr>
        <w:rPr>
          <w:rFonts w:hint="eastAsia" w:ascii="微软雅黑" w:hAnsi="微软雅黑" w:eastAsia="微软雅黑" w:cs="微软雅黑"/>
          <w:b w:val="0"/>
          <w:bCs/>
          <w:color w:val="000000" w:themeColor="text1"/>
          <w:sz w:val="44"/>
          <w14:textFill>
            <w14:solidFill>
              <w14:schemeClr w14:val="tx1"/>
            </w14:solidFill>
          </w14:textFill>
        </w:rPr>
      </w:pPr>
    </w:p>
    <w:p w14:paraId="1A4E006E">
      <w:pPr>
        <w:rPr>
          <w:rFonts w:hint="eastAsia" w:ascii="微软雅黑" w:hAnsi="微软雅黑" w:eastAsia="微软雅黑" w:cs="微软雅黑"/>
          <w:b w:val="0"/>
          <w:bCs/>
          <w:color w:val="000000" w:themeColor="text1"/>
          <w:sz w:val="44"/>
          <w14:textFill>
            <w14:solidFill>
              <w14:schemeClr w14:val="tx1"/>
            </w14:solidFill>
          </w14:textFill>
        </w:rPr>
      </w:pPr>
    </w:p>
    <w:p w14:paraId="43DE6E3D">
      <w:pPr>
        <w:rPr>
          <w:rFonts w:hint="eastAsia" w:ascii="微软雅黑" w:hAnsi="微软雅黑" w:eastAsia="微软雅黑" w:cs="微软雅黑"/>
          <w:b w:val="0"/>
          <w:bCs/>
          <w:color w:val="000000" w:themeColor="text1"/>
          <w:sz w:val="44"/>
          <w14:textFill>
            <w14:solidFill>
              <w14:schemeClr w14:val="tx1"/>
            </w14:solidFill>
          </w14:textFill>
        </w:rPr>
      </w:pPr>
    </w:p>
    <w:p w14:paraId="2B1FECF8">
      <w:pPr>
        <w:rPr>
          <w:rFonts w:hint="eastAsia" w:ascii="微软雅黑" w:hAnsi="微软雅黑" w:eastAsia="微软雅黑" w:cs="微软雅黑"/>
          <w:b w:val="0"/>
          <w:bCs/>
          <w:color w:val="000000" w:themeColor="text1"/>
          <w:sz w:val="44"/>
          <w14:textFill>
            <w14:solidFill>
              <w14:schemeClr w14:val="tx1"/>
            </w14:solidFill>
          </w14:textFill>
        </w:rPr>
      </w:pPr>
    </w:p>
    <w:p w14:paraId="529A97E2">
      <w:pPr>
        <w:rPr>
          <w:rFonts w:hint="eastAsia" w:ascii="微软雅黑" w:hAnsi="微软雅黑" w:eastAsia="微软雅黑" w:cs="微软雅黑"/>
          <w:b w:val="0"/>
          <w:bCs/>
          <w:color w:val="000000" w:themeColor="text1"/>
          <w:sz w:val="44"/>
          <w14:textFill>
            <w14:solidFill>
              <w14:schemeClr w14:val="tx1"/>
            </w14:solidFill>
          </w14:textFill>
        </w:rPr>
      </w:pPr>
    </w:p>
    <w:p w14:paraId="33822704">
      <w:pPr>
        <w:rPr>
          <w:rFonts w:hint="eastAsia" w:ascii="微软雅黑" w:hAnsi="微软雅黑" w:eastAsia="微软雅黑" w:cs="微软雅黑"/>
          <w:b w:val="0"/>
          <w:bCs/>
          <w:color w:val="000000" w:themeColor="text1"/>
          <w:sz w:val="44"/>
          <w14:textFill>
            <w14:solidFill>
              <w14:schemeClr w14:val="tx1"/>
            </w14:solidFill>
          </w14:textFill>
        </w:rPr>
      </w:pPr>
    </w:p>
    <w:p w14:paraId="5BDC3E57">
      <w:pPr>
        <w:rPr>
          <w:rFonts w:hint="eastAsia" w:ascii="微软雅黑" w:hAnsi="微软雅黑" w:eastAsia="微软雅黑" w:cs="微软雅黑"/>
          <w:b w:val="0"/>
          <w:bCs/>
          <w:color w:val="000000" w:themeColor="text1"/>
          <w:sz w:val="44"/>
          <w14:textFill>
            <w14:solidFill>
              <w14:schemeClr w14:val="tx1"/>
            </w14:solidFill>
          </w14:textFill>
        </w:rPr>
      </w:pPr>
    </w:p>
    <w:p w14:paraId="530BBEBB">
      <w:pPr>
        <w:rPr>
          <w:rFonts w:hint="eastAsia" w:ascii="微软雅黑" w:hAnsi="微软雅黑" w:eastAsia="微软雅黑" w:cs="微软雅黑"/>
          <w:b w:val="0"/>
          <w:bCs/>
          <w:color w:val="000000" w:themeColor="text1"/>
          <w:sz w:val="44"/>
          <w14:textFill>
            <w14:solidFill>
              <w14:schemeClr w14:val="tx1"/>
            </w14:solidFill>
          </w14:textFill>
        </w:rPr>
      </w:pPr>
    </w:p>
    <w:p w14:paraId="3E1DC101">
      <w:pPr>
        <w:rPr>
          <w:rFonts w:hint="eastAsia" w:ascii="微软雅黑" w:hAnsi="微软雅黑" w:eastAsia="微软雅黑" w:cs="微软雅黑"/>
          <w:b w:val="0"/>
          <w:bCs/>
          <w:color w:val="000000" w:themeColor="text1"/>
          <w:sz w:val="44"/>
          <w14:textFill>
            <w14:solidFill>
              <w14:schemeClr w14:val="tx1"/>
            </w14:solidFill>
          </w14:textFill>
        </w:rPr>
      </w:pPr>
    </w:p>
    <w:p w14:paraId="29B52EAE">
      <w:pPr>
        <w:rPr>
          <w:rFonts w:hint="eastAsia" w:ascii="微软雅黑" w:hAnsi="微软雅黑" w:eastAsia="微软雅黑" w:cs="微软雅黑"/>
          <w:b w:val="0"/>
          <w:bCs/>
          <w:color w:val="000000" w:themeColor="text1"/>
          <w:sz w:val="44"/>
          <w14:textFill>
            <w14:solidFill>
              <w14:schemeClr w14:val="tx1"/>
            </w14:solidFill>
          </w14:textFill>
        </w:rPr>
      </w:pPr>
    </w:p>
    <w:p w14:paraId="0F567A28">
      <w:pPr>
        <w:rPr>
          <w:rFonts w:hint="eastAsia" w:ascii="微软雅黑" w:hAnsi="微软雅黑" w:eastAsia="微软雅黑" w:cs="微软雅黑"/>
          <w:b w:val="0"/>
          <w:bCs/>
          <w:color w:val="000000" w:themeColor="text1"/>
          <w:sz w:val="44"/>
          <w14:textFill>
            <w14:solidFill>
              <w14:schemeClr w14:val="tx1"/>
            </w14:solidFill>
          </w14:textFill>
        </w:rPr>
      </w:pPr>
    </w:p>
    <w:p w14:paraId="2430C2F6">
      <w:pPr>
        <w:pStyle w:val="2"/>
        <w:keepNext/>
        <w:keepLines/>
        <w:pageBreakBefore w:val="0"/>
        <w:widowControl w:val="0"/>
        <w:tabs>
          <w:tab w:val="right" w:leader="dot" w:pos="6300"/>
        </w:tabs>
        <w:kinsoku/>
        <w:wordWrap/>
        <w:overflowPunct/>
        <w:topLinePunct w:val="0"/>
        <w:autoSpaceDE/>
        <w:autoSpaceDN/>
        <w:bidi w:val="0"/>
        <w:adjustRightInd/>
        <w:snapToGrid/>
        <w:spacing w:before="0" w:after="0" w:line="600" w:lineRule="exact"/>
        <w:jc w:val="center"/>
        <w:textAlignment w:val="auto"/>
        <w:rPr>
          <w:rFonts w:hint="eastAsia" w:ascii="微软雅黑" w:hAnsi="微软雅黑" w:eastAsia="微软雅黑" w:cs="微软雅黑"/>
          <w:b w:val="0"/>
          <w:bCs/>
          <w:color w:val="000000" w:themeColor="text1"/>
          <w:sz w:val="44"/>
          <w14:textFill>
            <w14:solidFill>
              <w14:schemeClr w14:val="tx1"/>
            </w14:solidFill>
          </w14:textFill>
        </w:rPr>
      </w:pPr>
      <w:r>
        <w:rPr>
          <w:rFonts w:hint="eastAsia" w:ascii="微软雅黑" w:hAnsi="微软雅黑" w:eastAsia="微软雅黑" w:cs="微软雅黑"/>
          <w:b w:val="0"/>
          <w:bCs/>
          <w:color w:val="000000" w:themeColor="text1"/>
          <w:sz w:val="44"/>
          <w14:textFill>
            <w14:solidFill>
              <w14:schemeClr w14:val="tx1"/>
            </w14:solidFill>
          </w14:textFill>
        </w:rPr>
        <w:t>第八章</w:t>
      </w:r>
      <w:r>
        <w:rPr>
          <w:rFonts w:hint="eastAsia" w:ascii="微软雅黑" w:hAnsi="微软雅黑" w:eastAsia="微软雅黑" w:cs="微软雅黑"/>
          <w:b w:val="0"/>
          <w:bCs/>
          <w:color w:val="000000" w:themeColor="text1"/>
          <w:sz w:val="44"/>
          <w:lang w:val="en-US" w:eastAsia="zh-CN"/>
          <w14:textFill>
            <w14:solidFill>
              <w14:schemeClr w14:val="tx1"/>
            </w14:solidFill>
          </w14:textFill>
        </w:rPr>
        <w:t xml:space="preserve"> </w:t>
      </w:r>
      <w:r>
        <w:rPr>
          <w:rFonts w:hint="eastAsia" w:ascii="微软雅黑" w:hAnsi="微软雅黑" w:eastAsia="微软雅黑" w:cs="微软雅黑"/>
          <w:b w:val="0"/>
          <w:bCs/>
          <w:color w:val="000000" w:themeColor="text1"/>
          <w:sz w:val="44"/>
          <w14:textFill>
            <w14:solidFill>
              <w14:schemeClr w14:val="tx1"/>
            </w14:solidFill>
          </w14:textFill>
        </w:rPr>
        <w:t>强化高质量党建</w:t>
      </w:r>
    </w:p>
    <w:p w14:paraId="214E37DA">
      <w:pPr>
        <w:pStyle w:val="2"/>
        <w:keepNext/>
        <w:keepLines/>
        <w:pageBreakBefore w:val="0"/>
        <w:widowControl w:val="0"/>
        <w:tabs>
          <w:tab w:val="right" w:leader="dot" w:pos="6300"/>
        </w:tabs>
        <w:kinsoku/>
        <w:wordWrap/>
        <w:overflowPunct/>
        <w:topLinePunct w:val="0"/>
        <w:autoSpaceDE/>
        <w:autoSpaceDN/>
        <w:bidi w:val="0"/>
        <w:adjustRightInd/>
        <w:snapToGrid/>
        <w:spacing w:before="0" w:after="0" w:line="600" w:lineRule="exact"/>
        <w:jc w:val="center"/>
        <w:textAlignment w:val="auto"/>
        <w:rPr>
          <w:rFonts w:hint="eastAsia" w:ascii="微软雅黑" w:hAnsi="微软雅黑" w:eastAsia="微软雅黑" w:cs="微软雅黑"/>
          <w:b w:val="0"/>
          <w:bCs/>
          <w:color w:val="000000" w:themeColor="text1"/>
          <w:sz w:val="44"/>
          <w14:textFill>
            <w14:solidFill>
              <w14:schemeClr w14:val="tx1"/>
            </w14:solidFill>
          </w14:textFill>
        </w:rPr>
      </w:pPr>
      <w:r>
        <w:rPr>
          <w:rFonts w:hint="eastAsia" w:ascii="微软雅黑" w:hAnsi="微软雅黑" w:eastAsia="微软雅黑" w:cs="微软雅黑"/>
          <w:b w:val="0"/>
          <w:bCs/>
          <w:color w:val="000000" w:themeColor="text1"/>
          <w:sz w:val="44"/>
          <w14:textFill>
            <w14:solidFill>
              <w14:schemeClr w14:val="tx1"/>
            </w14:solidFill>
          </w14:textFill>
        </w:rPr>
        <w:t>筑牢规划实施坚强保障</w:t>
      </w:r>
    </w:p>
    <w:p w14:paraId="15360046">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6BBF1271">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坚持将高质量党建作为推动规划实施的根本引领和坚强保障，以政治建设为统领，以建强干部队伍为重点，以提升基层党组织政治功能和组织功能为基础，以强化纪律作风建设为保障，系统构建“党建引领、权责明晰、协同高效、清正廉洁”的规划实施保障体系，为“十五五”时期实现港产城深度融合、建设现代化港口新城提供坚实的政治保证、组织支撑和动力源泉。</w:t>
      </w:r>
    </w:p>
    <w:p w14:paraId="2F630892">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40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0D07C22D">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jc w:val="center"/>
        <w:textAlignment w:val="auto"/>
        <w:outlineLvl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第一节</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强化政治引领与体制机制建设</w:t>
      </w:r>
    </w:p>
    <w:p w14:paraId="3B605F11">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40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74BBE5A9">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outlineLvl w:val="9"/>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把党的领导贯穿港产城融合发展全过程各方面，健全统筹有力、权责清晰、运行高效的领导与管理体系。</w:t>
      </w:r>
    </w:p>
    <w:p w14:paraId="7360F7FE">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一、强化政治引领。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持续推动习近平新时代中国特色社会主义思想入脑入心，深入学习贯彻落实党的二十大和二十届历次全会精神，健全常态化学习机制，通过党工委理论学习中心组学习、专题研讨、集中轮训等形式，引导党员干部深刻领悟“两个确立”的决定性意义，增强“四个意识”、坚定“四个自信”、做到“两个维护”。严明党的政治纪律和政治规矩，确保党中央决策部署及上级工作要求在园区不折不扣落地生根。不断提高各级党组织和党员干部的政治判断力、政治领悟力、政治执行力。完善党工委科学决策、民主决策、依法决策机制，严格执行新形势下党内政治生活的若干准则，用好批评和自我批评武器，持续净化党内政治生态。</w:t>
      </w:r>
    </w:p>
    <w:p w14:paraId="4FF537F0">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二、优化管理体制。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坚持能新则新、能严则严，全面推行“管委会瘦身+专业园区+公司化运营”管理模式，厘清行政管理与市场运营职能边界。推动管委会聚焦规划统筹、产业培育、行业监管核心主责主业，实现机构瘦身健体。统筹联动市级国有企业、园区区属平台企业共同承担开发区开发运营工作，构建“管委会定方向、专业园区管服务、运营公司抓落实”协同发展格局。</w:t>
      </w:r>
    </w:p>
    <w:p w14:paraId="15D21EBD">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30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4A92450B">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jc w:val="center"/>
        <w:textAlignment w:val="auto"/>
        <w:outlineLvl w:val="0"/>
        <w:rPr>
          <w:rFonts w:hint="eastAsia"/>
          <w:color w:val="000000" w:themeColor="text1"/>
          <w14:textFill>
            <w14:solidFill>
              <w14:schemeClr w14:val="tx1"/>
            </w14:solidFill>
          </w14:textFill>
        </w:rPr>
      </w:pPr>
    </w:p>
    <w:p w14:paraId="3A8C694E">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jc w:val="center"/>
        <w:textAlignment w:val="auto"/>
        <w:outlineLvl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第二节</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建强干事创业干部队伍</w:t>
      </w:r>
    </w:p>
    <w:p w14:paraId="7862A911">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30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4211222A">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30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0C4E56B4">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outlineLvl w:val="9"/>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坚持党管干部、党管人才，打造政治过硬、业务精湛、作风务实、敢于担当的高素质专业化干部队伍。</w:t>
      </w:r>
    </w:p>
    <w:p w14:paraId="6A3ED497">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一、科学选人用人。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全面落实新时代好干部标准，把是否忠诚干净担当作为衡量干部的第一尺度。树立“以实绩论英雄、凭能力用干部”的鲜明导向，围绕“五港建设”、产业转型升级、跨境贸易发展、新城功能提升等重大战略需求，大力选拔具有专业背景、实践经验和开拓精神的复合型干部人才。注重在重大工程、重点任务、基层一线考察识别干部，畅通党政人才、企业经营管理人才、专业技术人才交流渠道。构建“引育用留”全链条人才服务体系，完善“能上能下”机制，推动形成“能者上、优者奖、庸者下、劣者汰”的良性循环。</w:t>
      </w:r>
    </w:p>
    <w:p w14:paraId="065BE32E">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二、提升素质能力。</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围绕“十五五”规划实施需要和干部队伍能力素质短板，制定实施干部专业化能力提升计划。针对绿色低碳冶金、低空经济、多式联运、综保区能级提升、智慧港口建设等关键领域，组织专题培训、前沿讲座和实地研学，提升干部把握政策、研判产业、推动创新的专业素养。强化实践锻炼，有计划选派优秀年轻干部到招商引资一线、重大项目现场、急难险重岗位挂职锻炼或担任攻坚专班成员。建立常态化跨部门、跨领域、跨区域干部交流机制，组织干部到先进园区、标杆企业学习考察，拓宽视野格局。</w:t>
      </w:r>
    </w:p>
    <w:p w14:paraId="152AECD0">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三、健全激励机制。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构建差异化绩效考核体系，涵盖经济发展质量、产业培育成效、项目建设进度、营商环境优化、民生服务改善、生态环境质量、安全稳定水平等多维度指标，突出对重点任务、创新工作和实际贡献的考核权重。强化考核结果综合运用，与干部选拔任用、职级晋升、评优评先、绩效奖励直接挂钩。严格落实“三个区分开来”要求，健全完善容错纠错机制，为在改革创新、攻坚克难中出于公心、担当尽责而出现失误错误的干部撑腰鼓劲，营造鼓励探索、宽容失误、敢于负责、善作善成的干事创业氛围。</w:t>
      </w:r>
    </w:p>
    <w:p w14:paraId="722C1B62">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40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2BDE6AC9">
      <w:pPr>
        <w:pStyle w:val="3"/>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jc w:val="center"/>
        <w:textAlignment w:val="auto"/>
        <w:outlineLvl w:val="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第三节 增强基层党组织政治功能和组织功能</w:t>
      </w:r>
    </w:p>
    <w:p w14:paraId="36473849">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40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54C569EA">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outlineLvl w:val="9"/>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牢固树立大抓基层鲜明导向，推动基层党组织全面进步、全面过硬，把组织优势转化为治理效能、发展动能。</w:t>
      </w:r>
    </w:p>
    <w:p w14:paraId="7869A9CB">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一、优化基层治理。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提升政治功能和组织功能为重点，持续优化村（社区）“两委”班子结构，选优配强党组织带头人，加强后备力量培养，常态化整顿软弱涣散基层党组织。深化党建引领基层治理创新，推广“三维提升”“四聚共治”“五小五大”等经验，健全党组织领导下的居民自治、民主协商、群团带动、社会参与机制。完善“党建+网格化”治理，推动党的组织和工作向小区、楼栋、商户延伸。搭建“民情议事厅”“企业服务沙龙”等常态化议事协商平台，畅通诉求表达渠道。培育社区社会组织、志愿者队伍，引导党员在基层治理中亮身份、作表率。</w:t>
      </w:r>
    </w:p>
    <w:p w14:paraId="387C986B">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二、促进全域提升。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统筹推进机关、国有企业、事业单位、新兴领域等各领域党建工作。在机关，深入开展“模范机关”创建和“四好”党支部建设，推动党建与业务深度融合；在国有企业，落实“两个一以贯之”，把党的领导融入公司治理各环节；在事业单位，深化党组织领导下的院（校）长负责制；在新兴领域，完善“两新”工委机制，持续扩大党的组织和工作覆盖，重点抓好规模以上企业和重点行业党建工作，探索依托产业链、供应链、创新链开展党建联建，推广“多式联运产业链党建”等有效模式。加强新就业群体党建工作，依托“红石榴”驿站增强联系服务。坚持党建带群建，支持工会、共青团、妇联、科协等群团组织创造性开展工作。</w:t>
      </w:r>
    </w:p>
    <w:p w14:paraId="36B92290">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三、管好党员队伍。</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严格党员发展标准和程序，注重从生产经营一线、青年技术骨干、高知识群体中发展党员，优化党员队伍结构。加强党员日常教育管理监督，落实“三会一课”、组织生活会、民主评议党员等制度。搭建党员发挥作用的实践平台，深化“党员示范岗”“党员责任区”“党员突击队”等载体，鼓励党员在项目建设、技术攻关、志愿服务、应急处突中冲锋在前。健全党内激励关怀帮扶机制，严肃稳妥处置不合格党员，保持党员队伍先进性和纯洁性。</w:t>
      </w:r>
    </w:p>
    <w:p w14:paraId="5667EC4B">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四、深化融合实践。</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推动党建工作与园区中心任务深度融合，打造具有园区特色的党建品牌。“党建+项目攻坚”方面，围绕港口扩建、产业落地等重大项目成立临时党支部、党员攻坚队；“党建+产业服务”方面，组织党员干部开展“结对联企”“政策直达”“诉求速办”等服务，建立“企业点单、支部接单、党员送单”机制；“党建+创新驱动”方面，在重点实验室、研发平台设立党员创新工作室，围绕关键技术开展联合攻关；“党建+生态守护”方面，组织开展“党员护江”“绿色园区”等主题实践活动，以“党建红”助推“生态绿”。</w:t>
      </w:r>
    </w:p>
    <w:p w14:paraId="44C47A29">
      <w:pPr>
        <w:keepNext w:val="0"/>
        <w:keepLines w:val="0"/>
        <w:pageBreakBefore w:val="0"/>
        <w:widowControl w:val="0"/>
        <w:kinsoku/>
        <w:wordWrap/>
        <w:overflowPunct/>
        <w:topLinePunct w:val="0"/>
        <w:autoSpaceDE/>
        <w:autoSpaceDN/>
        <w:bidi w:val="0"/>
        <w:adjustRightInd/>
        <w:snapToGrid/>
        <w:spacing w:line="4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5DE04784">
      <w:pPr>
        <w:keepNext w:val="0"/>
        <w:keepLines w:val="0"/>
        <w:pageBreakBefore w:val="0"/>
        <w:widowControl w:val="0"/>
        <w:numPr>
          <w:ilvl w:val="0"/>
          <w:numId w:val="0"/>
        </w:numPr>
        <w:tabs>
          <w:tab w:val="right" w:leader="dot" w:pos="6300"/>
        </w:tabs>
        <w:kinsoku/>
        <w:wordWrap/>
        <w:overflowPunct/>
        <w:topLinePunct w:val="0"/>
        <w:autoSpaceDE/>
        <w:autoSpaceDN/>
        <w:bidi w:val="0"/>
        <w:adjustRightInd/>
        <w:snapToGrid/>
        <w:spacing w:beforeAutospacing="0" w:afterAutospacing="0" w:line="540" w:lineRule="exact"/>
        <w:ind w:firstLine="723" w:firstLineChars="200"/>
        <w:jc w:val="center"/>
        <w:textAlignment w:val="auto"/>
        <w:outlineLvl w:val="0"/>
        <w:rPr>
          <w:rStyle w:val="17"/>
          <w:rFonts w:hint="eastAsia"/>
          <w:color w:val="000000" w:themeColor="text1"/>
          <w:lang w:val="en-US" w:eastAsia="zh-CN"/>
          <w14:textFill>
            <w14:solidFill>
              <w14:schemeClr w14:val="tx1"/>
            </w14:solidFill>
          </w14:textFill>
        </w:rPr>
      </w:pPr>
      <w:r>
        <w:rPr>
          <w:rFonts w:hint="eastAsia" w:ascii="宋体" w:hAnsi="宋体" w:eastAsia="宋体" w:cs="宋体"/>
          <w:b/>
          <w:bCs/>
          <w:color w:val="000000" w:themeColor="text1"/>
          <w:kern w:val="0"/>
          <w:sz w:val="36"/>
          <w:szCs w:val="36"/>
          <w:lang w:val="en-US" w:eastAsia="zh-CN" w:bidi="ar"/>
          <w14:textFill>
            <w14:solidFill>
              <w14:schemeClr w14:val="tx1"/>
            </w14:solidFill>
          </w14:textFill>
        </w:rPr>
        <w:t xml:space="preserve">第四节 </w:t>
      </w:r>
      <w:r>
        <w:rPr>
          <w:rStyle w:val="17"/>
          <w:rFonts w:hint="eastAsia"/>
          <w:color w:val="000000" w:themeColor="text1"/>
          <w:lang w:val="en-US" w:eastAsia="zh-CN"/>
          <w14:textFill>
            <w14:solidFill>
              <w14:schemeClr w14:val="tx1"/>
            </w14:solidFill>
          </w14:textFill>
        </w:rPr>
        <w:t>加强纪律作风保障</w:t>
      </w:r>
    </w:p>
    <w:p w14:paraId="2C581797">
      <w:pPr>
        <w:keepNext w:val="0"/>
        <w:keepLines w:val="0"/>
        <w:pageBreakBefore w:val="0"/>
        <w:widowControl w:val="0"/>
        <w:numPr>
          <w:ilvl w:val="0"/>
          <w:numId w:val="0"/>
        </w:numPr>
        <w:tabs>
          <w:tab w:val="right" w:leader="dot" w:pos="6300"/>
        </w:tabs>
        <w:kinsoku/>
        <w:wordWrap/>
        <w:overflowPunct/>
        <w:topLinePunct w:val="0"/>
        <w:autoSpaceDE/>
        <w:autoSpaceDN/>
        <w:bidi w:val="0"/>
        <w:adjustRightInd/>
        <w:snapToGrid/>
        <w:spacing w:beforeAutospacing="0" w:afterAutospacing="0" w:line="400" w:lineRule="exact"/>
        <w:jc w:val="both"/>
        <w:textAlignment w:val="auto"/>
        <w:outlineLvl w:val="0"/>
        <w:rPr>
          <w:rStyle w:val="17"/>
          <w:rFonts w:hint="eastAsia"/>
          <w:color w:val="000000" w:themeColor="text1"/>
          <w:lang w:val="en-US" w:eastAsia="zh-CN"/>
          <w14:textFill>
            <w14:solidFill>
              <w14:schemeClr w14:val="tx1"/>
            </w14:solidFill>
          </w14:textFill>
        </w:rPr>
      </w:pPr>
    </w:p>
    <w:p w14:paraId="48BBD5CB">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坚持严的基调不动摇，持之以恒正风肃纪反腐，营造求真务实、清正廉洁、担当作为的浓厚氛围。</w:t>
      </w:r>
    </w:p>
    <w:p w14:paraId="19CDA5E8">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一、弘扬务实作风。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持之以恒落实中央八项规定及其实施细则精神，对形式主义、官僚主义突出问题精准施治。大力倡导“深实严细久”的工作作风，践行“一线工作法”，做到情况在一线掌握、问题在一线解决、工作在一线推动。发扬“周末跑工地”“皮鞋换球鞋”优良传统，弘扬“新港精神”和“拼抢实”工作作风，健全“任务项目化、项目清单化、清单责任化”的工作落实机制。常态化开展“送政策、解难题、优服务”活动，提供从项目落地到生产经营的全周期、一站式服务。建立以高质量发展实绩和群众企业满意度为导向的评价机制，将服务效能、问题解决率、项目推进速度作为重要考核内容。</w:t>
      </w:r>
    </w:p>
    <w:p w14:paraId="0E1E24B0">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二、深化全面从严治党。</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全面加强党的纪律建设，深入开展党性党风党纪教育，引导党员干部学纪、知纪、明纪、守纪。督促领导干部严于律己、严负其责、严管所辖。强化日常监督管理，抓早抓小、防微杜渐，精准运用“四种形态”，严格落实“七必谈”制度，常态化开展谈心谈话、提醒函询。坚持“三不腐”一体推进，以零容忍态度惩治腐败，深化以案促改、以案促治，加强新时代廉洁文化建设，涵养风清气正的政治生态。</w:t>
      </w:r>
    </w:p>
    <w:p w14:paraId="500BA04A">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三、筑牢廉政防线。</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完善“党委全面监督、纪委监委专责监督、党的工作部门职能监督、党的基层组织日常监督、党员民主监督”的党内监督体系。紧盯工程建设、土地出让、项目审批、财政资金使用、招商引资、政府采购等重点领域和关键环节，动态排查廉政风险点，制定精准化防控措施。推动各类监督贯通协调，畅通群众监督渠道。构建亲清统一的新型政商关系，明确政商交往正面清单和负面清单，引导党员干部既主动靠前服务，又坚守廉洁底线。加强家庭家教家风建设，确保干部清正、政府清廉、政治清明。</w:t>
      </w:r>
    </w:p>
    <w:p w14:paraId="5BDEEAB2">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4AF18054">
      <w:pPr>
        <w:pStyle w:val="2"/>
        <w:keepNext/>
        <w:keepLines/>
        <w:pageBreakBefore w:val="0"/>
        <w:widowControl w:val="0"/>
        <w:numPr>
          <w:ilvl w:val="0"/>
          <w:numId w:val="0"/>
        </w:numPr>
        <w:tabs>
          <w:tab w:val="right" w:leader="dot" w:pos="6300"/>
        </w:tabs>
        <w:kinsoku/>
        <w:wordWrap/>
        <w:overflowPunct/>
        <w:topLinePunct w:val="0"/>
        <w:autoSpaceDE/>
        <w:autoSpaceDN/>
        <w:bidi w:val="0"/>
        <w:adjustRightInd/>
        <w:snapToGrid/>
        <w:spacing w:before="0" w:after="0" w:line="640" w:lineRule="exact"/>
        <w:jc w:val="center"/>
        <w:textAlignment w:val="auto"/>
        <w:rPr>
          <w:rFonts w:hint="eastAsia" w:ascii="微软雅黑" w:hAnsi="微软雅黑" w:eastAsia="微软雅黑" w:cs="微软雅黑"/>
          <w:b w:val="0"/>
          <w:bCs/>
          <w:color w:val="000000" w:themeColor="text1"/>
          <w:kern w:val="44"/>
          <w:sz w:val="44"/>
          <w:szCs w:val="24"/>
          <w:lang w:val="en-US" w:eastAsia="zh-CN" w:bidi="ar-SA"/>
          <w14:textFill>
            <w14:solidFill>
              <w14:schemeClr w14:val="tx1"/>
            </w14:solidFill>
          </w14:textFill>
        </w:rPr>
      </w:pPr>
      <w:bookmarkStart w:id="221" w:name="_Toc3102"/>
      <w:bookmarkStart w:id="222" w:name="_Toc27108"/>
      <w:bookmarkStart w:id="223" w:name="_Toc22938"/>
      <w:bookmarkStart w:id="224" w:name="_Toc18334"/>
    </w:p>
    <w:p w14:paraId="481ABD5F">
      <w:pPr>
        <w:rPr>
          <w:rFonts w:hint="eastAsia" w:ascii="微软雅黑" w:hAnsi="微软雅黑" w:eastAsia="微软雅黑" w:cs="微软雅黑"/>
          <w:b w:val="0"/>
          <w:bCs/>
          <w:color w:val="000000" w:themeColor="text1"/>
          <w:kern w:val="44"/>
          <w:sz w:val="44"/>
          <w:szCs w:val="24"/>
          <w:lang w:val="en-US" w:eastAsia="zh-CN" w:bidi="ar-SA"/>
          <w14:textFill>
            <w14:solidFill>
              <w14:schemeClr w14:val="tx1"/>
            </w14:solidFill>
          </w14:textFill>
        </w:rPr>
      </w:pPr>
    </w:p>
    <w:p w14:paraId="57A28A8E">
      <w:pPr>
        <w:rPr>
          <w:rFonts w:hint="eastAsia" w:ascii="微软雅黑" w:hAnsi="微软雅黑" w:eastAsia="微软雅黑" w:cs="微软雅黑"/>
          <w:b w:val="0"/>
          <w:bCs/>
          <w:color w:val="000000" w:themeColor="text1"/>
          <w:kern w:val="44"/>
          <w:sz w:val="44"/>
          <w:szCs w:val="24"/>
          <w:lang w:val="en-US" w:eastAsia="zh-CN" w:bidi="ar-SA"/>
          <w14:textFill>
            <w14:solidFill>
              <w14:schemeClr w14:val="tx1"/>
            </w14:solidFill>
          </w14:textFill>
        </w:rPr>
      </w:pPr>
    </w:p>
    <w:p w14:paraId="1F8D9711">
      <w:pPr>
        <w:rPr>
          <w:rFonts w:hint="eastAsia" w:ascii="微软雅黑" w:hAnsi="微软雅黑" w:eastAsia="微软雅黑" w:cs="微软雅黑"/>
          <w:b w:val="0"/>
          <w:bCs/>
          <w:color w:val="000000" w:themeColor="text1"/>
          <w:kern w:val="44"/>
          <w:sz w:val="44"/>
          <w:szCs w:val="24"/>
          <w:lang w:val="en-US" w:eastAsia="zh-CN" w:bidi="ar-SA"/>
          <w14:textFill>
            <w14:solidFill>
              <w14:schemeClr w14:val="tx1"/>
            </w14:solidFill>
          </w14:textFill>
        </w:rPr>
      </w:pPr>
    </w:p>
    <w:p w14:paraId="2F41430F">
      <w:pPr>
        <w:pStyle w:val="2"/>
        <w:keepNext/>
        <w:keepLines/>
        <w:pageBreakBefore w:val="0"/>
        <w:widowControl w:val="0"/>
        <w:numPr>
          <w:ilvl w:val="0"/>
          <w:numId w:val="0"/>
        </w:numPr>
        <w:tabs>
          <w:tab w:val="right" w:leader="dot" w:pos="6300"/>
        </w:tabs>
        <w:kinsoku/>
        <w:wordWrap/>
        <w:overflowPunct/>
        <w:topLinePunct w:val="0"/>
        <w:autoSpaceDE/>
        <w:autoSpaceDN/>
        <w:bidi w:val="0"/>
        <w:adjustRightInd/>
        <w:snapToGrid/>
        <w:spacing w:before="0" w:after="0" w:line="640" w:lineRule="exact"/>
        <w:jc w:val="center"/>
        <w:textAlignment w:val="auto"/>
        <w:rPr>
          <w:rFonts w:hint="eastAsia" w:ascii="微软雅黑" w:hAnsi="微软雅黑" w:eastAsia="微软雅黑" w:cs="微软雅黑"/>
          <w:b w:val="0"/>
          <w:bCs/>
          <w:color w:val="000000" w:themeColor="text1"/>
          <w:lang w:val="en-US" w:eastAsia="zh-CN"/>
          <w14:textFill>
            <w14:solidFill>
              <w14:schemeClr w14:val="tx1"/>
            </w14:solidFill>
          </w14:textFill>
        </w:rPr>
      </w:pPr>
      <w:r>
        <w:rPr>
          <w:rFonts w:hint="eastAsia" w:ascii="微软雅黑" w:hAnsi="微软雅黑" w:eastAsia="微软雅黑" w:cs="微软雅黑"/>
          <w:b w:val="0"/>
          <w:bCs/>
          <w:color w:val="000000" w:themeColor="text1"/>
          <w:kern w:val="44"/>
          <w:sz w:val="44"/>
          <w:szCs w:val="24"/>
          <w:lang w:val="en-US" w:eastAsia="zh-CN" w:bidi="ar-SA"/>
          <w14:textFill>
            <w14:solidFill>
              <w14:schemeClr w14:val="tx1"/>
            </w14:solidFill>
          </w14:textFill>
        </w:rPr>
        <w:t xml:space="preserve">第九章 </w:t>
      </w:r>
      <w:r>
        <w:rPr>
          <w:rFonts w:hint="eastAsia" w:ascii="微软雅黑" w:hAnsi="微软雅黑" w:eastAsia="微软雅黑" w:cs="微软雅黑"/>
          <w:b w:val="0"/>
          <w:bCs/>
          <w:color w:val="000000" w:themeColor="text1"/>
          <w:lang w:val="en-US" w:eastAsia="zh-CN"/>
          <w14:textFill>
            <w14:solidFill>
              <w14:schemeClr w14:val="tx1"/>
            </w14:solidFill>
          </w14:textFill>
        </w:rPr>
        <w:t>强化规划引领</w:t>
      </w:r>
      <w:bookmarkEnd w:id="221"/>
      <w:bookmarkEnd w:id="222"/>
      <w:bookmarkEnd w:id="223"/>
    </w:p>
    <w:p w14:paraId="0D4663C7">
      <w:pPr>
        <w:pStyle w:val="2"/>
        <w:keepNext/>
        <w:keepLines/>
        <w:pageBreakBefore w:val="0"/>
        <w:widowControl w:val="0"/>
        <w:numPr>
          <w:ilvl w:val="0"/>
          <w:numId w:val="0"/>
        </w:numPr>
        <w:tabs>
          <w:tab w:val="right" w:leader="dot" w:pos="6300"/>
        </w:tabs>
        <w:kinsoku/>
        <w:wordWrap/>
        <w:overflowPunct/>
        <w:topLinePunct w:val="0"/>
        <w:autoSpaceDE/>
        <w:autoSpaceDN/>
        <w:bidi w:val="0"/>
        <w:adjustRightInd/>
        <w:snapToGrid/>
        <w:spacing w:before="0" w:after="0" w:line="640" w:lineRule="exact"/>
        <w:jc w:val="center"/>
        <w:textAlignment w:val="auto"/>
        <w:rPr>
          <w:rFonts w:hint="eastAsia" w:ascii="微软雅黑" w:hAnsi="微软雅黑" w:eastAsia="微软雅黑" w:cs="微软雅黑"/>
          <w:b w:val="0"/>
          <w:bCs/>
          <w:color w:val="000000" w:themeColor="text1"/>
          <w:lang w:val="en-US" w:eastAsia="zh-CN"/>
          <w14:textFill>
            <w14:solidFill>
              <w14:schemeClr w14:val="tx1"/>
            </w14:solidFill>
          </w14:textFill>
        </w:rPr>
      </w:pPr>
      <w:bookmarkStart w:id="225" w:name="_Toc1407"/>
      <w:bookmarkStart w:id="226" w:name="_Toc11094"/>
      <w:bookmarkStart w:id="227" w:name="_Toc29174"/>
      <w:bookmarkStart w:id="228" w:name="_Toc609"/>
      <w:bookmarkStart w:id="229" w:name="_Toc12884"/>
      <w:r>
        <w:rPr>
          <w:rFonts w:hint="eastAsia" w:ascii="微软雅黑" w:hAnsi="微软雅黑" w:eastAsia="微软雅黑" w:cs="微软雅黑"/>
          <w:b w:val="0"/>
          <w:bCs/>
          <w:color w:val="000000" w:themeColor="text1"/>
          <w:lang w:val="en-US" w:eastAsia="zh-CN"/>
          <w14:textFill>
            <w14:solidFill>
              <w14:schemeClr w14:val="tx1"/>
            </w14:solidFill>
          </w14:textFill>
        </w:rPr>
        <w:t>赋能港产城高质量发展</w:t>
      </w:r>
      <w:bookmarkEnd w:id="224"/>
      <w:bookmarkEnd w:id="225"/>
      <w:bookmarkEnd w:id="226"/>
      <w:bookmarkEnd w:id="227"/>
      <w:bookmarkEnd w:id="228"/>
      <w:bookmarkEnd w:id="229"/>
      <w:bookmarkStart w:id="230" w:name="_Toc14442"/>
    </w:p>
    <w:p w14:paraId="60468DDA">
      <w:pPr>
        <w:keepNext w:val="0"/>
        <w:keepLines w:val="0"/>
        <w:pageBreakBefore w:val="0"/>
        <w:widowControl w:val="0"/>
        <w:tabs>
          <w:tab w:val="right" w:leader="dot" w:pos="6300"/>
        </w:tabs>
        <w:kinsoku/>
        <w:wordWrap/>
        <w:overflowPunct/>
        <w:topLinePunct w:val="0"/>
        <w:autoSpaceDE/>
        <w:autoSpaceDN/>
        <w:bidi w:val="0"/>
        <w:adjustRightInd/>
        <w:snapToGrid/>
        <w:spacing w:line="40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4D4649FA">
      <w:pPr>
        <w:pStyle w:val="2"/>
        <w:pageBreakBefore w:val="0"/>
        <w:widowControl w:val="0"/>
        <w:numPr>
          <w:ilvl w:val="0"/>
          <w:numId w:val="0"/>
        </w:numPr>
        <w:tabs>
          <w:tab w:val="right" w:leader="dot" w:pos="6300"/>
        </w:tabs>
        <w:kinsoku/>
        <w:wordWrap/>
        <w:overflowPunct/>
        <w:topLinePunct w:val="0"/>
        <w:autoSpaceDE/>
        <w:autoSpaceDN/>
        <w:bidi w:val="0"/>
        <w:adjustRightInd/>
        <w:snapToGrid/>
        <w:spacing w:before="0" w:beforeLines="0" w:beforeAutospacing="0" w:after="0" w:afterLines="0" w:afterAutospacing="0" w:line="560" w:lineRule="exact"/>
        <w:jc w:val="center"/>
        <w:textAlignment w:val="auto"/>
        <w:rPr>
          <w:rFonts w:hint="eastAsia" w:ascii="宋体" w:hAnsi="宋体" w:eastAsia="宋体" w:cs="宋体"/>
          <w:b/>
          <w:bCs/>
          <w:color w:val="000000" w:themeColor="text1"/>
          <w:kern w:val="0"/>
          <w:sz w:val="36"/>
          <w:szCs w:val="36"/>
          <w:lang w:val="en-US" w:eastAsia="zh-CN" w:bidi="ar"/>
          <w14:textFill>
            <w14:solidFill>
              <w14:schemeClr w14:val="tx1"/>
            </w14:solidFill>
          </w14:textFill>
        </w:rPr>
      </w:pPr>
      <w:bookmarkStart w:id="231" w:name="_Toc13016"/>
      <w:bookmarkStart w:id="232" w:name="_Toc26666"/>
      <w:bookmarkStart w:id="233" w:name="_Toc19514"/>
      <w:r>
        <w:rPr>
          <w:rFonts w:hint="eastAsia" w:ascii="宋体" w:hAnsi="宋体" w:eastAsia="宋体" w:cs="宋体"/>
          <w:b/>
          <w:bCs/>
          <w:color w:val="000000" w:themeColor="text1"/>
          <w:kern w:val="0"/>
          <w:sz w:val="36"/>
          <w:szCs w:val="36"/>
          <w:lang w:val="en-US" w:eastAsia="zh-CN" w:bidi="ar"/>
          <w14:textFill>
            <w14:solidFill>
              <w14:schemeClr w14:val="tx1"/>
            </w14:solidFill>
          </w14:textFill>
        </w:rPr>
        <w:t xml:space="preserve">第一节 </w:t>
      </w:r>
      <w:r>
        <w:rPr>
          <w:rFonts w:hint="default" w:ascii="宋体" w:hAnsi="宋体" w:eastAsia="宋体" w:cs="宋体"/>
          <w:b/>
          <w:bCs/>
          <w:color w:val="000000" w:themeColor="text1"/>
          <w:kern w:val="0"/>
          <w:sz w:val="36"/>
          <w:szCs w:val="36"/>
          <w:lang w:val="en-US" w:eastAsia="zh-CN" w:bidi="ar"/>
          <w14:textFill>
            <w14:solidFill>
              <w14:schemeClr w14:val="tx1"/>
            </w14:solidFill>
          </w14:textFill>
        </w:rPr>
        <w:t>强化组织领导</w:t>
      </w:r>
      <w:bookmarkEnd w:id="230"/>
      <w:bookmarkEnd w:id="231"/>
      <w:bookmarkEnd w:id="232"/>
      <w:bookmarkEnd w:id="233"/>
    </w:p>
    <w:p w14:paraId="6CF474EF">
      <w:pPr>
        <w:keepNext w:val="0"/>
        <w:keepLines w:val="0"/>
        <w:pageBreakBefore w:val="0"/>
        <w:widowControl w:val="0"/>
        <w:tabs>
          <w:tab w:val="right" w:leader="dot" w:pos="6300"/>
        </w:tabs>
        <w:kinsoku/>
        <w:wordWrap/>
        <w:overflowPunct/>
        <w:topLinePunct w:val="0"/>
        <w:autoSpaceDE/>
        <w:autoSpaceDN/>
        <w:bidi w:val="0"/>
        <w:adjustRightInd/>
        <w:snapToGrid/>
        <w:spacing w:line="400" w:lineRule="exact"/>
        <w:ind w:firstLine="640" w:firstLineChars="200"/>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p>
    <w:p w14:paraId="7D007F05">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充分发挥园区党工委统筹协调作用，成立由党工委牵头的规划实施工作领导小组，建立常态化议事机制，及时研究破解建设中的重大问题与瓶颈制约。明确各部门职责分工与跨部门协作流程，健全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上下联动、左右协同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的工作格局。将规划目标细化分解为年度工作计划、财政预算安排和具体落实举措，根据实施进展动态调整优化政策策略，形成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部署—推进—督查—反馈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全流程工作闭环。</w:t>
      </w:r>
    </w:p>
    <w:p w14:paraId="7A93FDAF">
      <w:pPr>
        <w:keepNext w:val="0"/>
        <w:keepLines w:val="0"/>
        <w:pageBreakBefore w:val="0"/>
        <w:widowControl w:val="0"/>
        <w:tabs>
          <w:tab w:val="right" w:leader="dot" w:pos="6300"/>
        </w:tabs>
        <w:kinsoku/>
        <w:wordWrap/>
        <w:overflowPunct/>
        <w:topLinePunct w:val="0"/>
        <w:autoSpaceDE/>
        <w:autoSpaceDN/>
        <w:bidi w:val="0"/>
        <w:adjustRightInd/>
        <w:snapToGrid/>
        <w:spacing w:line="400" w:lineRule="exact"/>
        <w:ind w:firstLine="640" w:firstLineChars="200"/>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234" w:name="_Toc31117"/>
    </w:p>
    <w:p w14:paraId="336E72A1">
      <w:pPr>
        <w:pStyle w:val="3"/>
        <w:pageBreakBefore w:val="0"/>
        <w:widowControl w:val="0"/>
        <w:tabs>
          <w:tab w:val="right" w:leader="dot" w:pos="6300"/>
        </w:tabs>
        <w:kinsoku/>
        <w:wordWrap/>
        <w:overflowPunct/>
        <w:topLinePunct w:val="0"/>
        <w:autoSpaceDE/>
        <w:autoSpaceDN/>
        <w:bidi w:val="0"/>
        <w:adjustRightInd/>
        <w:snapToGrid/>
        <w:spacing w:before="0" w:beforeAutospacing="0" w:after="0" w:afterAutospacing="0" w:line="560" w:lineRule="exact"/>
        <w:jc w:val="center"/>
        <w:textAlignment w:val="auto"/>
        <w:outlineLvl w:val="0"/>
        <w:rPr>
          <w:rFonts w:hint="default"/>
          <w:color w:val="000000" w:themeColor="text1"/>
          <w:lang w:val="en-US" w:eastAsia="zh-CN"/>
          <w14:textFill>
            <w14:solidFill>
              <w14:schemeClr w14:val="tx1"/>
            </w14:solidFill>
          </w14:textFill>
        </w:rPr>
      </w:pPr>
      <w:bookmarkStart w:id="235" w:name="_Toc4480"/>
      <w:bookmarkStart w:id="236" w:name="_Toc6817"/>
      <w:r>
        <w:rPr>
          <w:rFonts w:hint="eastAsia"/>
          <w:color w:val="000000" w:themeColor="text1"/>
          <w:lang w:val="en-US" w:eastAsia="zh-CN"/>
          <w14:textFill>
            <w14:solidFill>
              <w14:schemeClr w14:val="tx1"/>
            </w14:solidFill>
          </w14:textFill>
        </w:rPr>
        <w:t xml:space="preserve">第二节 </w:t>
      </w:r>
      <w:r>
        <w:rPr>
          <w:rFonts w:hint="default"/>
          <w:color w:val="000000" w:themeColor="text1"/>
          <w:lang w:val="en-US" w:eastAsia="zh-CN"/>
          <w14:textFill>
            <w14:solidFill>
              <w14:schemeClr w14:val="tx1"/>
            </w14:solidFill>
          </w14:textFill>
        </w:rPr>
        <w:t>完善系统保障机制</w:t>
      </w:r>
      <w:bookmarkEnd w:id="234"/>
      <w:bookmarkEnd w:id="235"/>
      <w:bookmarkEnd w:id="236"/>
    </w:p>
    <w:p w14:paraId="3C4EF723">
      <w:pPr>
        <w:keepNext w:val="0"/>
        <w:keepLines w:val="0"/>
        <w:pageBreakBefore w:val="0"/>
        <w:widowControl w:val="0"/>
        <w:tabs>
          <w:tab w:val="right" w:leader="dot" w:pos="6300"/>
        </w:tabs>
        <w:kinsoku/>
        <w:wordWrap/>
        <w:overflowPunct/>
        <w:topLinePunct w:val="0"/>
        <w:autoSpaceDE/>
        <w:autoSpaceDN/>
        <w:bidi w:val="0"/>
        <w:adjustRightInd/>
        <w:snapToGrid/>
        <w:spacing w:line="400" w:lineRule="exact"/>
        <w:ind w:firstLine="640" w:firstLineChars="200"/>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p>
    <w:p w14:paraId="2542C9EC">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坚持</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一张蓝图绘到底</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推动产业发展、空间布局、生态环保、民生保障等各类专项规划在发展目标、空间布局、实施时序上衔接统一。用足用好国家及省市支持港口经济、产业升级、创新发展的政策红利，在土地供应、财政补贴、要素保障等方面加大企业扶持力度。完善人口、环保、财税等配套政策体系，将规划重点任务和项目全面纳入年度工作计划，明确责任主体、实施路径与考核要求。</w:t>
      </w:r>
    </w:p>
    <w:p w14:paraId="7DC816A6">
      <w:pPr>
        <w:pStyle w:val="3"/>
        <w:pageBreakBefore w:val="0"/>
        <w:widowControl w:val="0"/>
        <w:tabs>
          <w:tab w:val="right" w:leader="dot" w:pos="6300"/>
        </w:tabs>
        <w:kinsoku/>
        <w:wordWrap/>
        <w:overflowPunct/>
        <w:topLinePunct w:val="0"/>
        <w:autoSpaceDE/>
        <w:autoSpaceDN/>
        <w:bidi w:val="0"/>
        <w:adjustRightInd/>
        <w:snapToGrid/>
        <w:spacing w:before="0" w:beforeAutospacing="0" w:after="0" w:afterAutospacing="0" w:line="560" w:lineRule="exact"/>
        <w:jc w:val="center"/>
        <w:textAlignment w:val="auto"/>
        <w:outlineLvl w:val="0"/>
        <w:rPr>
          <w:rFonts w:hint="eastAsia"/>
          <w:color w:val="000000" w:themeColor="text1"/>
          <w:lang w:val="en-US" w:eastAsia="zh-CN"/>
          <w14:textFill>
            <w14:solidFill>
              <w14:schemeClr w14:val="tx1"/>
            </w14:solidFill>
          </w14:textFill>
        </w:rPr>
      </w:pPr>
      <w:bookmarkStart w:id="237" w:name="_Toc24444"/>
      <w:bookmarkStart w:id="238" w:name="_Toc3096"/>
      <w:bookmarkStart w:id="239" w:name="_Toc19191"/>
    </w:p>
    <w:p w14:paraId="078BB938">
      <w:pPr>
        <w:pStyle w:val="3"/>
        <w:pageBreakBefore w:val="0"/>
        <w:widowControl w:val="0"/>
        <w:tabs>
          <w:tab w:val="right" w:leader="dot" w:pos="6300"/>
        </w:tabs>
        <w:kinsoku/>
        <w:wordWrap/>
        <w:overflowPunct/>
        <w:topLinePunct w:val="0"/>
        <w:autoSpaceDE/>
        <w:autoSpaceDN/>
        <w:bidi w:val="0"/>
        <w:adjustRightInd/>
        <w:snapToGrid/>
        <w:spacing w:before="0" w:beforeAutospacing="0" w:after="0" w:afterAutospacing="0" w:line="560" w:lineRule="exact"/>
        <w:jc w:val="center"/>
        <w:textAlignment w:val="auto"/>
        <w:outlineLvl w:val="0"/>
        <w:rPr>
          <w:rFonts w:hint="eastAsia"/>
          <w:color w:val="000000" w:themeColor="text1"/>
          <w:lang w:val="en-US" w:eastAsia="zh-CN"/>
          <w14:textFill>
            <w14:solidFill>
              <w14:schemeClr w14:val="tx1"/>
            </w14:solidFill>
          </w14:textFill>
        </w:rPr>
      </w:pPr>
    </w:p>
    <w:p w14:paraId="15763856">
      <w:pPr>
        <w:pStyle w:val="3"/>
        <w:pageBreakBefore w:val="0"/>
        <w:widowControl w:val="0"/>
        <w:tabs>
          <w:tab w:val="right" w:leader="dot" w:pos="6300"/>
        </w:tabs>
        <w:kinsoku/>
        <w:wordWrap/>
        <w:overflowPunct/>
        <w:topLinePunct w:val="0"/>
        <w:autoSpaceDE/>
        <w:autoSpaceDN/>
        <w:bidi w:val="0"/>
        <w:adjustRightInd/>
        <w:snapToGrid/>
        <w:spacing w:before="0" w:beforeAutospacing="0" w:after="0" w:afterAutospacing="0" w:line="560" w:lineRule="exact"/>
        <w:jc w:val="center"/>
        <w:textAlignment w:val="auto"/>
        <w:outlineLvl w:val="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第三节 </w:t>
      </w:r>
      <w:r>
        <w:rPr>
          <w:rFonts w:hint="default"/>
          <w:color w:val="000000" w:themeColor="text1"/>
          <w:lang w:val="en-US" w:eastAsia="zh-CN"/>
          <w14:textFill>
            <w14:solidFill>
              <w14:schemeClr w14:val="tx1"/>
            </w14:solidFill>
          </w14:textFill>
        </w:rPr>
        <w:t>聚焦项目支撑</w:t>
      </w:r>
      <w:bookmarkEnd w:id="237"/>
      <w:bookmarkEnd w:id="238"/>
      <w:bookmarkEnd w:id="239"/>
    </w:p>
    <w:p w14:paraId="6A35298D">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400" w:lineRule="exact"/>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p>
    <w:p w14:paraId="476CDB1B">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建立</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规划定项目、项目落规划</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的联动机制。健全重点项目储备库与全周期推进机制，落实分级管理责任，强化项目谋划、审批、建设、投产各环节统筹调度。构建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政府引导、社会参与、多元投入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的投资体系，优化财政支出结构，强化财政资金审计监督与绩效考评，严控地方政府债务风险。</w:t>
      </w:r>
    </w:p>
    <w:p w14:paraId="5623D69F">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3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240" w:name="_Toc17882"/>
    </w:p>
    <w:p w14:paraId="3B3795D1">
      <w:pPr>
        <w:pStyle w:val="3"/>
        <w:pageBreakBefore w:val="0"/>
        <w:widowControl w:val="0"/>
        <w:tabs>
          <w:tab w:val="right" w:leader="dot" w:pos="6300"/>
        </w:tabs>
        <w:kinsoku/>
        <w:wordWrap/>
        <w:overflowPunct/>
        <w:topLinePunct w:val="0"/>
        <w:autoSpaceDE/>
        <w:autoSpaceDN/>
        <w:bidi w:val="0"/>
        <w:adjustRightInd/>
        <w:snapToGrid/>
        <w:spacing w:before="0" w:beforeAutospacing="0" w:after="0" w:afterAutospacing="0" w:line="560" w:lineRule="exact"/>
        <w:jc w:val="center"/>
        <w:textAlignment w:val="auto"/>
        <w:outlineLvl w:val="0"/>
        <w:rPr>
          <w:rFonts w:hint="default"/>
          <w:color w:val="000000" w:themeColor="text1"/>
          <w:lang w:val="en-US" w:eastAsia="zh-CN"/>
          <w14:textFill>
            <w14:solidFill>
              <w14:schemeClr w14:val="tx1"/>
            </w14:solidFill>
          </w14:textFill>
        </w:rPr>
      </w:pPr>
      <w:bookmarkStart w:id="241" w:name="_Toc22484"/>
      <w:bookmarkStart w:id="242" w:name="_Toc25713"/>
      <w:r>
        <w:rPr>
          <w:rFonts w:hint="eastAsia"/>
          <w:color w:val="000000" w:themeColor="text1"/>
          <w:lang w:val="en-US" w:eastAsia="zh-CN"/>
          <w14:textFill>
            <w14:solidFill>
              <w14:schemeClr w14:val="tx1"/>
            </w14:solidFill>
          </w14:textFill>
        </w:rPr>
        <w:t xml:space="preserve">第四节 </w:t>
      </w:r>
      <w:r>
        <w:rPr>
          <w:rFonts w:hint="default"/>
          <w:color w:val="000000" w:themeColor="text1"/>
          <w:lang w:val="en-US" w:eastAsia="zh-CN"/>
          <w14:textFill>
            <w14:solidFill>
              <w14:schemeClr w14:val="tx1"/>
            </w14:solidFill>
          </w14:textFill>
        </w:rPr>
        <w:t>优化规划实施环境</w:t>
      </w:r>
      <w:bookmarkEnd w:id="240"/>
      <w:bookmarkEnd w:id="241"/>
      <w:bookmarkEnd w:id="242"/>
    </w:p>
    <w:p w14:paraId="5876E9B6">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400" w:lineRule="exact"/>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p>
    <w:p w14:paraId="3671ECE4">
      <w:pPr>
        <w:keepNext w:val="0"/>
        <w:keepLines w:val="0"/>
        <w:pageBreakBefore w:val="0"/>
        <w:widowControl w:val="0"/>
        <w:tabs>
          <w:tab w:val="right" w:leader="dot" w:pos="6300"/>
        </w:tabs>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围绕产业高质量发展、创新驱动突破、安全稳定保障等重点领域，系统梳理现有政策体系，细化政策实施细则。推动政策与项目落地、要素保障、服务优化等环节精准衔接，形成系统性、协同性强的配套支持体系。建立</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年度监测—中期评估—终期考核</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的规划实施评估体系，明确各任务节点量化指标与评估标准，定期收集发展数据、分析实施成效与存在问题，结合产业发展新态势、外部环境变化动态调整规划内容与实施策略，提升规划的科学性、前瞻性与可操作性。</w:t>
      </w:r>
    </w:p>
    <w:sectPr>
      <w:footerReference r:id="rId4" w:type="default"/>
      <w:pgSz w:w="11906" w:h="16838"/>
      <w:pgMar w:top="1814" w:right="1531" w:bottom="1701" w:left="1531" w:header="851" w:footer="992" w:gutter="0"/>
      <w:pgNumType w:fmt="numberInDash"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6A1F696-F169-4AD8-BCFE-8D1EC6C1F9D1}"/>
  </w:font>
  <w:font w:name="黑体">
    <w:panose1 w:val="02010609060101010101"/>
    <w:charset w:val="86"/>
    <w:family w:val="auto"/>
    <w:pitch w:val="default"/>
    <w:sig w:usb0="800002BF" w:usb1="38CF7CFA" w:usb2="00000016" w:usb3="00000000" w:csb0="00040001" w:csb1="00000000"/>
    <w:embedRegular r:id="rId2" w:fontKey="{4C1C0A22-2416-4156-9ACB-D51249A5420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embedRegular r:id="rId3" w:fontKey="{A589B583-C9D4-4B57-B5A0-1A1E919DB721}"/>
  </w:font>
  <w:font w:name="方正书宋简体">
    <w:altName w:val="宋体"/>
    <w:panose1 w:val="00000000000000000000"/>
    <w:charset w:val="00"/>
    <w:family w:val="auto"/>
    <w:pitch w:val="default"/>
    <w:sig w:usb0="00000000" w:usb1="00000000" w:usb2="00000000" w:usb3="00000000" w:csb0="00000000" w:csb1="00000000"/>
    <w:embedRegular r:id="rId4" w:fontKey="{DB45CC45-511D-42D3-8E39-3CC9E868C842}"/>
  </w:font>
  <w:font w:name="微软雅黑">
    <w:panose1 w:val="020B0503020204020204"/>
    <w:charset w:val="86"/>
    <w:family w:val="auto"/>
    <w:pitch w:val="default"/>
    <w:sig w:usb0="80000287" w:usb1="2ACF3C50" w:usb2="00000016" w:usb3="00000000" w:csb0="0004001F" w:csb1="00000000"/>
    <w:embedRegular r:id="rId5" w:fontKey="{DF1C0BE5-06F2-4F17-AC83-64C7CCDEF114}"/>
  </w:font>
  <w:font w:name="楷体_GB2312">
    <w:panose1 w:val="02010609030101010101"/>
    <w:charset w:val="86"/>
    <w:family w:val="auto"/>
    <w:pitch w:val="default"/>
    <w:sig w:usb0="00000001" w:usb1="080E0000" w:usb2="00000000" w:usb3="00000000" w:csb0="00040000" w:csb1="00000000"/>
    <w:embedRegular r:id="rId6" w:fontKey="{CE3A076F-4239-4566-AAD0-0D87A2F5CC48}"/>
  </w:font>
  <w:font w:name="仿宋_GB2312">
    <w:panose1 w:val="02010609030101010101"/>
    <w:charset w:val="86"/>
    <w:family w:val="auto"/>
    <w:pitch w:val="default"/>
    <w:sig w:usb0="00000001" w:usb1="080E0000" w:usb2="00000000" w:usb3="00000000" w:csb0="00040000" w:csb1="00000000"/>
    <w:embedRegular r:id="rId7" w:fontKey="{831F5E02-C2B8-48CA-B61E-4A94666768C2}"/>
  </w:font>
  <w:font w:name="仿宋">
    <w:panose1 w:val="02010609060101010101"/>
    <w:charset w:val="86"/>
    <w:family w:val="auto"/>
    <w:pitch w:val="default"/>
    <w:sig w:usb0="800002BF" w:usb1="38CF7CFA" w:usb2="00000016" w:usb3="00000000" w:csb0="00040001" w:csb1="00000000"/>
    <w:embedRegular r:id="rId8" w:fontKey="{568C317B-8C53-4982-9CE5-801DE4CCE50B}"/>
  </w:font>
  <w:font w:name="方正大标宋简体">
    <w:panose1 w:val="02000000000000000000"/>
    <w:charset w:val="86"/>
    <w:family w:val="auto"/>
    <w:pitch w:val="default"/>
    <w:sig w:usb0="00000001" w:usb1="080E0000" w:usb2="00000000" w:usb3="00000000" w:csb0="00040000" w:csb1="00000000"/>
    <w:embedRegular r:id="rId9" w:fontKey="{2148E29D-4355-4BE0-8158-2A8D6014D121}"/>
  </w:font>
  <w:font w:name="楷体">
    <w:panose1 w:val="02010609060101010101"/>
    <w:charset w:val="86"/>
    <w:family w:val="auto"/>
    <w:pitch w:val="default"/>
    <w:sig w:usb0="800002BF" w:usb1="38CF7CFA" w:usb2="00000016" w:usb3="00000000" w:csb0="00040001" w:csb1="00000000"/>
    <w:embedRegular r:id="rId10" w:fontKey="{12DB8A38-BEDE-4FF4-8674-2ADDF2AB286A}"/>
  </w:font>
  <w:font w:name="SimSun-ExtB">
    <w:panose1 w:val="02010609060101010101"/>
    <w:charset w:val="86"/>
    <w:family w:val="auto"/>
    <w:pitch w:val="default"/>
    <w:sig w:usb0="00000001" w:usb1="02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162E9">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E652E">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C52ED1">
                          <w:pPr>
                            <w:pStyle w:val="6"/>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- 1 -</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1C52ED1">
                    <w:pPr>
                      <w:pStyle w:val="6"/>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- 1 -</w:t>
                    </w:r>
                    <w:r>
                      <w:rPr>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19"/>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02391"/>
    <w:rsid w:val="033F6608"/>
    <w:rsid w:val="052A2FC7"/>
    <w:rsid w:val="05590E4E"/>
    <w:rsid w:val="06F2019A"/>
    <w:rsid w:val="07287E67"/>
    <w:rsid w:val="073C7FCF"/>
    <w:rsid w:val="08D60D6D"/>
    <w:rsid w:val="0BC67329"/>
    <w:rsid w:val="0C1C3D26"/>
    <w:rsid w:val="0C987656"/>
    <w:rsid w:val="0ECF7E8E"/>
    <w:rsid w:val="0F34782D"/>
    <w:rsid w:val="102170BD"/>
    <w:rsid w:val="105C6999"/>
    <w:rsid w:val="12D164CB"/>
    <w:rsid w:val="12E66B34"/>
    <w:rsid w:val="13135AA6"/>
    <w:rsid w:val="13F532E6"/>
    <w:rsid w:val="163705D3"/>
    <w:rsid w:val="176D2CDB"/>
    <w:rsid w:val="18831BCF"/>
    <w:rsid w:val="18F838FB"/>
    <w:rsid w:val="196E41FC"/>
    <w:rsid w:val="19DB722C"/>
    <w:rsid w:val="1ABD3733"/>
    <w:rsid w:val="1ACE41DD"/>
    <w:rsid w:val="1B0064BA"/>
    <w:rsid w:val="1B4C003F"/>
    <w:rsid w:val="1D00587B"/>
    <w:rsid w:val="1D283F5D"/>
    <w:rsid w:val="20947775"/>
    <w:rsid w:val="21323FCC"/>
    <w:rsid w:val="217E5054"/>
    <w:rsid w:val="2251272C"/>
    <w:rsid w:val="22B10A97"/>
    <w:rsid w:val="24302046"/>
    <w:rsid w:val="251B66B7"/>
    <w:rsid w:val="25A428B8"/>
    <w:rsid w:val="25AB2E6E"/>
    <w:rsid w:val="26754822"/>
    <w:rsid w:val="28EE18CC"/>
    <w:rsid w:val="29AC3E9C"/>
    <w:rsid w:val="29D33532"/>
    <w:rsid w:val="2A2F2941"/>
    <w:rsid w:val="2BC34EAC"/>
    <w:rsid w:val="2C7E3240"/>
    <w:rsid w:val="2D0A2328"/>
    <w:rsid w:val="2DD11957"/>
    <w:rsid w:val="2DFF20CC"/>
    <w:rsid w:val="2EF01014"/>
    <w:rsid w:val="301E7C1D"/>
    <w:rsid w:val="308C5C37"/>
    <w:rsid w:val="314C48BF"/>
    <w:rsid w:val="31660CB9"/>
    <w:rsid w:val="335C4053"/>
    <w:rsid w:val="34467A5D"/>
    <w:rsid w:val="34C93FE6"/>
    <w:rsid w:val="35042CC3"/>
    <w:rsid w:val="36173CCD"/>
    <w:rsid w:val="369D60F9"/>
    <w:rsid w:val="36EB26E8"/>
    <w:rsid w:val="36EB4C23"/>
    <w:rsid w:val="373C4223"/>
    <w:rsid w:val="384D4981"/>
    <w:rsid w:val="3B081C9D"/>
    <w:rsid w:val="3B556027"/>
    <w:rsid w:val="3D0B51B6"/>
    <w:rsid w:val="3D68126B"/>
    <w:rsid w:val="3D6F1615"/>
    <w:rsid w:val="3D713DFE"/>
    <w:rsid w:val="3ECC608C"/>
    <w:rsid w:val="40EA5565"/>
    <w:rsid w:val="424B47BE"/>
    <w:rsid w:val="428A2CC9"/>
    <w:rsid w:val="43407E24"/>
    <w:rsid w:val="43B40C06"/>
    <w:rsid w:val="45534298"/>
    <w:rsid w:val="456F5F37"/>
    <w:rsid w:val="463827CD"/>
    <w:rsid w:val="4699272E"/>
    <w:rsid w:val="47EB390C"/>
    <w:rsid w:val="497F2071"/>
    <w:rsid w:val="4A7C7BDC"/>
    <w:rsid w:val="4CA83356"/>
    <w:rsid w:val="4CBD568A"/>
    <w:rsid w:val="4CD76A28"/>
    <w:rsid w:val="4DB76BCA"/>
    <w:rsid w:val="4EF46464"/>
    <w:rsid w:val="4F5243B1"/>
    <w:rsid w:val="515F00AA"/>
    <w:rsid w:val="51943FCC"/>
    <w:rsid w:val="53600B6F"/>
    <w:rsid w:val="55083501"/>
    <w:rsid w:val="56F42740"/>
    <w:rsid w:val="57A14111"/>
    <w:rsid w:val="584C5828"/>
    <w:rsid w:val="586C686D"/>
    <w:rsid w:val="5BD97D2B"/>
    <w:rsid w:val="5BF63C0C"/>
    <w:rsid w:val="5F7A6BBF"/>
    <w:rsid w:val="5FDE6DC1"/>
    <w:rsid w:val="60B950AA"/>
    <w:rsid w:val="62446104"/>
    <w:rsid w:val="62AC2446"/>
    <w:rsid w:val="63E17405"/>
    <w:rsid w:val="64986AAA"/>
    <w:rsid w:val="64CB605C"/>
    <w:rsid w:val="655B3FC0"/>
    <w:rsid w:val="65722C65"/>
    <w:rsid w:val="6602510B"/>
    <w:rsid w:val="687D7547"/>
    <w:rsid w:val="69945B90"/>
    <w:rsid w:val="69D55AAB"/>
    <w:rsid w:val="6B9E7AB5"/>
    <w:rsid w:val="6E501CBA"/>
    <w:rsid w:val="6EB24661"/>
    <w:rsid w:val="6F0025C6"/>
    <w:rsid w:val="71010C0F"/>
    <w:rsid w:val="71CB4BFC"/>
    <w:rsid w:val="72B037BD"/>
    <w:rsid w:val="73432912"/>
    <w:rsid w:val="73EC5623"/>
    <w:rsid w:val="750945FD"/>
    <w:rsid w:val="76283EDF"/>
    <w:rsid w:val="77026A79"/>
    <w:rsid w:val="78A42EA7"/>
    <w:rsid w:val="797F1EE5"/>
    <w:rsid w:val="7C8E0793"/>
    <w:rsid w:val="7CBC46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17"/>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link w:val="21"/>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toc 3"/>
    <w:basedOn w:val="1"/>
    <w:next w:val="1"/>
    <w:qFormat/>
    <w:uiPriority w:val="0"/>
    <w:pPr>
      <w:ind w:left="840" w:leftChars="4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font61"/>
    <w:basedOn w:val="12"/>
    <w:qFormat/>
    <w:uiPriority w:val="0"/>
    <w:rPr>
      <w:rFonts w:hint="eastAsia" w:ascii="宋体" w:hAnsi="宋体" w:eastAsia="宋体" w:cs="宋体"/>
      <w:color w:val="000000"/>
      <w:sz w:val="24"/>
      <w:szCs w:val="24"/>
      <w:u w:val="none"/>
    </w:rPr>
  </w:style>
  <w:style w:type="character" w:customStyle="1" w:styleId="14">
    <w:name w:val="font71"/>
    <w:basedOn w:val="12"/>
    <w:qFormat/>
    <w:uiPriority w:val="0"/>
    <w:rPr>
      <w:rFonts w:hint="default" w:ascii="Segoe UI" w:hAnsi="Segoe UI" w:eastAsia="Segoe UI" w:cs="Segoe UI"/>
      <w:color w:val="000000"/>
      <w:sz w:val="24"/>
      <w:szCs w:val="24"/>
      <w:u w:val="none"/>
    </w:rPr>
  </w:style>
  <w:style w:type="character" w:customStyle="1" w:styleId="15">
    <w:name w:val="font41"/>
    <w:basedOn w:val="12"/>
    <w:qFormat/>
    <w:uiPriority w:val="0"/>
    <w:rPr>
      <w:rFonts w:hint="default" w:ascii="Segoe UI" w:hAnsi="Segoe UI" w:eastAsia="Segoe UI" w:cs="Segoe UI"/>
      <w:color w:val="000000"/>
      <w:sz w:val="21"/>
      <w:szCs w:val="21"/>
      <w:u w:val="none"/>
    </w:rPr>
  </w:style>
  <w:style w:type="character" w:customStyle="1" w:styleId="16">
    <w:name w:val="font51"/>
    <w:basedOn w:val="12"/>
    <w:qFormat/>
    <w:uiPriority w:val="0"/>
    <w:rPr>
      <w:rFonts w:hint="eastAsia" w:ascii="宋体" w:hAnsi="宋体" w:eastAsia="宋体" w:cs="宋体"/>
      <w:color w:val="000000"/>
      <w:sz w:val="21"/>
      <w:szCs w:val="21"/>
      <w:u w:val="none"/>
    </w:rPr>
  </w:style>
  <w:style w:type="character" w:customStyle="1" w:styleId="17">
    <w:name w:val="标题 2 Char"/>
    <w:link w:val="3"/>
    <w:qFormat/>
    <w:uiPriority w:val="0"/>
    <w:rPr>
      <w:rFonts w:hint="eastAsia" w:ascii="宋体" w:hAnsi="宋体" w:eastAsia="宋体" w:cs="宋体"/>
      <w:b/>
      <w:bCs/>
      <w:kern w:val="0"/>
      <w:sz w:val="36"/>
      <w:szCs w:val="36"/>
      <w:lang w:val="en-US" w:eastAsia="zh-CN" w:bidi="ar"/>
    </w:rPr>
  </w:style>
  <w:style w:type="paragraph" w:customStyle="1" w:styleId="18">
    <w:name w:val="WPSOffice手动目录 1"/>
    <w:qFormat/>
    <w:uiPriority w:val="0"/>
    <w:pPr>
      <w:ind w:leftChars="0"/>
    </w:pPr>
    <w:rPr>
      <w:rFonts w:ascii="Times New Roman" w:hAnsi="Times New Roman" w:eastAsia="宋体" w:cs="Times New Roman"/>
      <w:sz w:val="20"/>
      <w:szCs w:val="20"/>
    </w:rPr>
  </w:style>
  <w:style w:type="paragraph" w:customStyle="1" w:styleId="19">
    <w:name w:val="WPSOffice手动目录 2"/>
    <w:qFormat/>
    <w:uiPriority w:val="0"/>
    <w:pPr>
      <w:ind w:leftChars="200"/>
    </w:pPr>
    <w:rPr>
      <w:rFonts w:ascii="Times New Roman" w:hAnsi="Times New Roman" w:eastAsia="宋体" w:cs="Times New Roman"/>
      <w:sz w:val="20"/>
      <w:szCs w:val="20"/>
    </w:rPr>
  </w:style>
  <w:style w:type="paragraph" w:customStyle="1" w:styleId="20">
    <w:name w:val="WPSOffice手动目录 3"/>
    <w:qFormat/>
    <w:uiPriority w:val="0"/>
    <w:pPr>
      <w:ind w:leftChars="400"/>
    </w:pPr>
    <w:rPr>
      <w:rFonts w:ascii="Times New Roman" w:hAnsi="Times New Roman" w:eastAsia="宋体" w:cs="Times New Roman"/>
      <w:sz w:val="20"/>
      <w:szCs w:val="20"/>
    </w:rPr>
  </w:style>
  <w:style w:type="character" w:customStyle="1" w:styleId="21">
    <w:name w:val="标题 3 Char"/>
    <w:link w:val="4"/>
    <w:qFormat/>
    <w:uiPriority w:val="0"/>
    <w:rPr>
      <w:rFonts w:hint="eastAsia" w:ascii="宋体" w:hAnsi="宋体" w:eastAsia="宋体" w:cs="宋体"/>
      <w:b/>
      <w:bCs/>
      <w:kern w:val="0"/>
      <w:sz w:val="27"/>
      <w:szCs w:val="27"/>
      <w:lang w:val="en-US" w:eastAsia="zh-CN" w:bidi="ar"/>
    </w:rPr>
  </w:style>
  <w:style w:type="character" w:customStyle="1" w:styleId="22">
    <w:name w:val="font21"/>
    <w:basedOn w:val="12"/>
    <w:qFormat/>
    <w:uiPriority w:val="0"/>
    <w:rPr>
      <w:rFonts w:hint="default" w:ascii="Segoe UI" w:hAnsi="Segoe UI" w:eastAsia="Segoe UI" w:cs="Segoe UI"/>
      <w:color w:val="000000"/>
      <w:sz w:val="21"/>
      <w:szCs w:val="21"/>
      <w:u w:val="none"/>
    </w:rPr>
  </w:style>
  <w:style w:type="character" w:customStyle="1" w:styleId="23">
    <w:name w:val="font31"/>
    <w:basedOn w:val="12"/>
    <w:qFormat/>
    <w:uiPriority w:val="0"/>
    <w:rPr>
      <w:rFonts w:hint="eastAsia" w:ascii="宋体" w:hAnsi="宋体" w:eastAsia="宋体" w:cs="宋体"/>
      <w:color w:val="000000"/>
      <w:sz w:val="21"/>
      <w:szCs w:val="21"/>
      <w:u w:val="none"/>
    </w:rPr>
  </w:style>
  <w:style w:type="character" w:customStyle="1" w:styleId="24">
    <w:name w:val="font81"/>
    <w:basedOn w:val="12"/>
    <w:qFormat/>
    <w:uiPriority w:val="0"/>
    <w:rPr>
      <w:rFonts w:ascii="方正书宋简体" w:hAnsi="方正书宋简体" w:eastAsia="方正书宋简体" w:cs="方正书宋简体"/>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a56cfd07-3889-4ab9-b252-59552676d896</errorID>
      <errorWord>普惠幼儿园</errorWord>
      <group>L1_Word</group>
      <groupName>字词问题</groupName>
      <ability>L2_Typo</ability>
      <abilityName>字词错误</abilityName>
      <candidateList>
        <item>普惠性幼儿园</item>
      </candidateList>
      <explain/>
      <paraID>5C028BDA</paraID>
      <start>161</start>
      <end>166</end>
      <status>ignored</status>
      <modifiedWord/>
      <trackRevisions>false</trackRevisions>
    </reviewItem>
    <reviewItem>
      <errorID>6e9895e6-3bd7-4e06-a2a7-a67fec615499</errorID>
      <errorWord>［</errorWord>
      <group>L1_Format</group>
      <groupName>格式问题</groupName>
      <ability>L2_HalfPunc_CN</ability>
      <abilityName>全半角问题</abilityName>
      <candidateList>
        <item>[</item>
      </candidateList>
      <explain>文本全半角错误。</explain>
      <paraID>775968D9</paraID>
      <start>0</start>
      <end>1</end>
      <status>ignored</status>
      <modifiedWord/>
      <trackRevisions>false</trackRevisions>
    </reviewItem>
    <reviewItem>
      <errorID>dd8e2cac-a506-498e-b6ba-5fad6837f812</errorID>
      <errorWord>］</errorWord>
      <group>L1_Format</group>
      <groupName>格式问题</groupName>
      <ability>L2_HalfPunc_CN</ability>
      <abilityName>全半角问题</abilityName>
      <candidateList>
        <item>]</item>
      </candidateList>
      <explain>文本全半角错误。</explain>
      <paraID>775968D9</paraID>
      <start>5</start>
      <end>6</end>
      <status>ignored</status>
      <modifiedWord/>
      <trackRevisions>false</trackRevisions>
    </reviewItem>
    <reviewItem>
      <errorID>9ef2c12e-827a-46ae-a8d2-a4d898e18b60</errorID>
      <errorWord>［</errorWord>
      <group>L1_Format</group>
      <groupName>格式问题</groupName>
      <ability>L2_HalfPunc_CN</ability>
      <abilityName>全半角问题</abilityName>
      <candidateList>
        <item>[</item>
      </candidateList>
      <explain>文本全半角错误。</explain>
      <paraID>5DB7C955</paraID>
      <start>0</start>
      <end>1</end>
      <status>ignored</status>
      <modifiedWord/>
      <trackRevisions>false</trackRevisions>
    </reviewItem>
    <reviewItem>
      <errorID>941ff7a0-e662-45c6-b720-fd8b8fd50d5d</errorID>
      <errorWord>］</errorWord>
      <group>L1_Format</group>
      <groupName>格式问题</groupName>
      <ability>L2_HalfPunc_CN</ability>
      <abilityName>全半角问题</abilityName>
      <candidateList>
        <item>]</item>
      </candidateList>
      <explain>文本全半角错误。</explain>
      <paraID>5DB7C955</paraID>
      <start>4</start>
      <end>5</end>
      <status>ignored</status>
      <modifiedWord/>
      <trackRevisions>false</trackRevisions>
    </reviewItem>
    <reviewItem>
      <errorID>380e50b3-119b-45b7-94a5-a0a16c5fe3dc</errorID>
      <errorWord>［</errorWord>
      <group>L1_Format</group>
      <groupName>格式问题</groupName>
      <ability>L2_HalfPunc_CN</ability>
      <abilityName>全半角问题</abilityName>
      <candidateList>
        <item>[</item>
      </candidateList>
      <explain>文本全半角错误。</explain>
      <paraID> 69F3F73</paraID>
      <start>0</start>
      <end>1</end>
      <status>ignored</status>
      <modifiedWord/>
      <trackRevisions>false</trackRevisions>
    </reviewItem>
    <reviewItem>
      <errorID>509bc311-9fb6-425d-8403-88ba08d2d871</errorID>
      <errorWord>］</errorWord>
      <group>L1_Format</group>
      <groupName>格式问题</groupName>
      <ability>L2_HalfPunc_CN</ability>
      <abilityName>全半角问题</abilityName>
      <candidateList>
        <item>]</item>
      </candidateList>
      <explain>文本全半角错误。</explain>
      <paraID> 69F3F73</paraID>
      <start>4</start>
      <end>5</end>
      <status>ignored</status>
      <modifiedWord/>
      <trackRevisions>false</trackRevisions>
    </reviewItem>
    <reviewItem>
      <errorID>db538ffd-6a30-4e59-9077-1710dc8b55dd</errorID>
      <errorWord>［</errorWord>
      <group>L1_Format</group>
      <groupName>格式问题</groupName>
      <ability>L2_HalfPunc_CN</ability>
      <abilityName>全半角问题</abilityName>
      <candidateList>
        <item>[</item>
      </candidateList>
      <explain>文本全半角错误。</explain>
      <paraID>152B822A</paraID>
      <start>0</start>
      <end>1</end>
      <status>ignored</status>
      <modifiedWord/>
      <trackRevisions>false</trackRevisions>
    </reviewItem>
    <reviewItem>
      <errorID>46fd2b67-e6f7-4ebd-aab5-83aeecabf6fb</errorID>
      <errorWord>］</errorWord>
      <group>L1_Format</group>
      <groupName>格式问题</groupName>
      <ability>L2_HalfPunc_CN</ability>
      <abilityName>全半角问题</abilityName>
      <candidateList>
        <item>]</item>
      </candidateList>
      <explain>文本全半角错误。</explain>
      <paraID>152B822A</paraID>
      <start>5</start>
      <end>6</end>
      <status>ignored</status>
      <modifiedWord/>
      <trackRevisions>false</trackRevisions>
    </reviewItem>
    <reviewItem>
      <errorID>65d29be7-3dc1-49f7-82b8-c0ac8d9be3fa</errorID>
      <errorWord>［</errorWord>
      <group>L1_Format</group>
      <groupName>格式问题</groupName>
      <ability>L2_HalfPunc_CN</ability>
      <abilityName>全半角问题</abilityName>
      <candidateList>
        <item>[</item>
      </candidateList>
      <explain>文本全半角错误。</explain>
      <paraID>5366D422</paraID>
      <start>0</start>
      <end>1</end>
      <status>ignored</status>
      <modifiedWord/>
      <trackRevisions>false</trackRevisions>
    </reviewItem>
    <reviewItem>
      <errorID>53999987-09e6-4f45-97f4-a7b7e575fe10</errorID>
      <errorWord>］</errorWord>
      <group>L1_Format</group>
      <groupName>格式问题</groupName>
      <ability>L2_HalfPunc_CN</ability>
      <abilityName>全半角问题</abilityName>
      <candidateList>
        <item>]</item>
      </candidateList>
      <explain>文本全半角错误。</explain>
      <paraID>5366D422</paraID>
      <start>5</start>
      <end>6</end>
      <status>ignored</status>
      <modifiedWord/>
      <trackRevisions>false</trackRevisions>
    </reviewItem>
    <reviewItem>
      <errorID>f7bf9642-2a56-4c10-bc6e-2a5c3c9aa716</errorID>
      <errorWord>增强</errorWord>
      <group>L1_Grammar</group>
      <groupName>语法问题</groupName>
      <ability>L2_Grammar</ability>
      <abilityName>语法错误</abilityName>
      <candidateList>
        <item>提升</item>
      </candidateList>
      <explain>“增强～水平”搭配不当，建议修改为“提升～水平”。</explain>
      <paraID>5EB6584F</paraID>
      <start>175</start>
      <end>177</end>
      <status>modified</status>
      <modifiedWord>提升</modifiedWord>
      <trackRevisions>false</trackRevisions>
    </reviewItem>
    <reviewItem>
      <errorID>3513ec8d-88df-477f-87d3-19c2e9d04276</errorID>
      <errorWord>雪亮工程</errorWord>
      <group>L1_Political</group>
      <groupName>政治性问题</groupName>
      <ability>L2_Keyword</ability>
      <abilityName>固定表述</abilityName>
      <candidateList>
        <item>“雪亮工程”</item>
      </candidateList>
      <explain>注意检查当前固定表述标点是否使用规范。</explain>
      <paraID>2E2D7D5D</paraID>
      <start>13</start>
      <end>17</end>
      <status>ignored</status>
      <modifiedWord/>
      <trackRevisions>false</trackRevisions>
    </reviewItem>
    <reviewItem>
      <errorID>4c4a90ea-119e-4bc7-9c4f-6fdd89394838</errorID>
      <errorWord>"</errorWord>
      <group>L1_Format</group>
      <groupName>格式问题</groupName>
      <ability>L2_HalfPunc_CN</ability>
      <abilityName>全半角问题</abilityName>
      <candidateList>
        <item>“</item>
      </candidateList>
      <explain>文本全半角错误。</explain>
      <paraID>1220E810</paraID>
      <start>37</start>
      <end>38</end>
      <status>modified</status>
      <modifiedWord>“</modifiedWord>
      <trackRevisions>false</trackRevisions>
    </reviewItem>
    <reviewItem>
      <errorID>5b018c70-a944-49e9-b804-3da23b71278b</errorID>
      <errorWord>"</errorWord>
      <group>L1_Format</group>
      <groupName>格式问题</groupName>
      <ability>L2_HalfPunc_CN</ability>
      <abilityName>全半角问题</abilityName>
      <candidateList>
        <item>”</item>
      </candidateList>
      <explain>文本全半角错误。</explain>
      <paraID>1220E810</paraID>
      <start>43</start>
      <end>44</end>
      <status>modified</status>
      <modifiedWord>”</modifiedWord>
      <trackRevisions>false</trackRevisions>
    </reviewItem>
    <reviewItem>
      <errorID>60be1497-d93b-411b-b73c-f5f513ce33e5</errorID>
      <errorWord>"</errorWord>
      <group>L1_Format</group>
      <groupName>格式问题</groupName>
      <ability>L2_HalfPunc_CN</ability>
      <abilityName>全半角问题</abilityName>
      <candidateList>
        <item>“</item>
      </candidateList>
      <explain>文本全半角错误。</explain>
      <paraID>476C6EA3</paraID>
      <start>68</start>
      <end>69</end>
      <status>modified</status>
      <modifiedWord>“</modifiedWord>
      <trackRevisions>false</trackRevisions>
    </reviewItem>
    <reviewItem>
      <errorID>51bb6249-640f-4372-a27c-ef83813ef80e</errorID>
      <errorWord>"</errorWord>
      <group>L1_Format</group>
      <groupName>格式问题</groupName>
      <ability>L2_HalfPunc_CN</ability>
      <abilityName>全半角问题</abilityName>
      <candidateList>
        <item>”</item>
      </candidateList>
      <explain>文本全半角错误。</explain>
      <paraID>476C6EA3</paraID>
      <start>73</start>
      <end>74</end>
      <status>modified</status>
      <modifiedWord>”</modifiedWord>
      <trackRevisions>false</trackRevisions>
    </reviewItem>
    <reviewItem>
      <errorID>5491fd0d-5f0d-4afb-b871-67cb1c458675</errorID>
      <errorWord>化</errorWord>
      <group>L1_Word</group>
      <groupName>字词问题</groupName>
      <ability>L2_Typo</ability>
      <abilityName>字词错误</abilityName>
      <candidateList>
        <item>化与</item>
      </candidateList>
      <explain/>
      <paraID>1B5A647B</paraID>
      <start>172</start>
      <end>173</end>
      <status>ignored</status>
      <modifiedWord/>
      <trackRevisions>false</trackRevisions>
    </reviewItem>
    <reviewItem>
      <errorID>5032e1a2-ed61-4e40-9e60-62c7597759d1</errorID>
      <errorWord>"</errorWord>
      <group>L1_Format</group>
      <groupName>格式问题</groupName>
      <ability>L2_HalfPunc_CN</ability>
      <abilityName>全半角问题</abilityName>
      <candidateList>
        <item>“</item>
      </candidateList>
      <explain>文本全半角错误。</explain>
      <paraID>3B3A4B34</paraID>
      <start>38</start>
      <end>39</end>
      <status>modified</status>
      <modifiedWord>“</modifiedWord>
      <trackRevisions>false</trackRevisions>
    </reviewItem>
    <reviewItem>
      <errorID>d5ae903a-e5a1-43b6-a3ad-22956decf283</errorID>
      <errorWord>"</errorWord>
      <group>L1_Format</group>
      <groupName>格式问题</groupName>
      <ability>L2_HalfPunc_CN</ability>
      <abilityName>全半角问题</abilityName>
      <candidateList>
        <item>”</item>
      </candidateList>
      <explain>文本全半角错误。</explain>
      <paraID>3B3A4B34</paraID>
      <start>44</start>
      <end>45</end>
      <status>modified</status>
      <modifiedWord>”</modifiedWord>
      <trackRevisions>false</trackRevisions>
    </reviewItem>
    <reviewItem>
      <errorID>4624ec34-52b2-42ab-871d-690d18fbd178</errorID>
      <errorWord>"</errorWord>
      <group>L1_Format</group>
      <groupName>格式问题</groupName>
      <ability>L2_HalfPunc_CN</ability>
      <abilityName>全半角问题</abilityName>
      <candidateList>
        <item>“</item>
      </candidateList>
      <explain>文本全半角错误。</explain>
      <paraID>6E0F25AE</paraID>
      <start>99</start>
      <end>100</end>
      <status>modified</status>
      <modifiedWord>“</modifiedWord>
      <trackRevisions>false</trackRevisions>
    </reviewItem>
    <reviewItem>
      <errorID>651e9476-73d4-45cf-a543-88bd7fbaa746</errorID>
      <errorWord>"</errorWord>
      <group>L1_Format</group>
      <groupName>格式问题</groupName>
      <ability>L2_HalfPunc_CN</ability>
      <abilityName>全半角问题</abilityName>
      <candidateList>
        <item>”</item>
      </candidateList>
      <explain>文本全半角错误。</explain>
      <paraID>6E0F25AE</paraID>
      <start>105</start>
      <end>106</end>
      <status>modified</status>
      <modifiedWord>”</modifiedWord>
      <trackRevisions>false</trackRevisions>
    </reviewItem>
    <reviewItem>
      <errorID>6518d8a5-1bb0-4bd8-9b5e-9977137813bf</errorID>
      <errorWord>产业片区供应链</errorWord>
      <group>L1_Political</group>
      <groupName>政治性问题</groupName>
      <ability>L2_Keyword</ability>
      <abilityName>固定表述</abilityName>
      <candidateList>
        <item>产业链供应链</item>
      </candidateList>
      <explain>词汇“产业链供应链”在特定场景下为固定表述形式，请确认此处的“产业片区供应链”是否存在不当。</explain>
      <paraID>6E0F25AE</paraID>
      <start>144</start>
      <end>151</end>
      <status>ignored</status>
      <modifiedWord/>
      <trackRevisions>false</trackRevisions>
    </reviewItem>
    <reviewItem>
      <errorID>6940d223-6b90-446a-8729-06de5fe52297</errorID>
      <errorWord>"</errorWord>
      <group>L1_Format</group>
      <groupName>格式问题</groupName>
      <ability>L2_HalfPunc_CN</ability>
      <abilityName>全半角问题</abilityName>
      <candidateList>
        <item>“</item>
      </candidateList>
      <explain>文本全半角错误。</explain>
      <paraID>3DBA3337</paraID>
      <start>205</start>
      <end>206</end>
      <status>modified</status>
      <modifiedWord>“</modifiedWord>
      <trackRevisions>false</trackRevisions>
    </reviewItem>
    <reviewItem>
      <errorID>dc2f6261-5d05-40a5-9d94-5b26e4da6f2d</errorID>
      <errorWord>"</errorWord>
      <group>L1_Format</group>
      <groupName>格式问题</groupName>
      <ability>L2_HalfPunc_CN</ability>
      <abilityName>全半角问题</abilityName>
      <candidateList>
        <item>”</item>
      </candidateList>
      <explain>文本全半角错误。</explain>
      <paraID>3DBA3337</paraID>
      <start>209</start>
      <end>210</end>
      <status>modified</status>
      <modifiedWord>”</modifiedWord>
      <trackRevisions>false</trackRevisions>
    </reviewItem>
    <reviewItem>
      <errorID>ba234089-ac1c-4aa5-95b9-c7a50a375b75</errorID>
      <errorWord>"</errorWord>
      <group>L1_Format</group>
      <groupName>格式问题</groupName>
      <ability>L2_HalfPunc_CN</ability>
      <abilityName>全半角问题</abilityName>
      <candidateList>
        <item>“</item>
      </candidateList>
      <explain>文本全半角错误。</explain>
      <paraID>2A08D452</paraID>
      <start>70</start>
      <end>71</end>
      <status>modified</status>
      <modifiedWord>“</modifiedWord>
      <trackRevisions>false</trackRevisions>
    </reviewItem>
    <reviewItem>
      <errorID>5783fbf1-ddb8-4316-a294-249c05c23a30</errorID>
      <errorWord>"</errorWord>
      <group>L1_Format</group>
      <groupName>格式问题</groupName>
      <ability>L2_HalfPunc_CN</ability>
      <abilityName>全半角问题</abilityName>
      <candidateList>
        <item>”</item>
      </candidateList>
      <explain>文本全半角错误。</explain>
      <paraID>2A08D452</paraID>
      <start>78</start>
      <end>79</end>
      <status>modified</status>
      <modifiedWord>”</modifiedWord>
      <trackRevisions>false</trackRevisions>
    </reviewItem>
    <reviewItem>
      <errorID>df6213ad-3947-452b-a330-0a59bd323807</errorID>
      <errorWord>"</errorWord>
      <group>L1_Format</group>
      <groupName>格式问题</groupName>
      <ability>L2_HalfPunc_CN</ability>
      <abilityName>全半角问题</abilityName>
      <candidateList>
        <item>“</item>
      </candidateList>
      <explain>文本全半角错误。</explain>
      <paraID>2A08D452</paraID>
      <start>128</start>
      <end>129</end>
      <status>modified</status>
      <modifiedWord>“</modifiedWord>
      <trackRevisions>false</trackRevisions>
    </reviewItem>
    <reviewItem>
      <errorID>ec004757-b13c-4e11-b24e-4db578e1cf37</errorID>
      <errorWord>"</errorWord>
      <group>L1_Format</group>
      <groupName>格式问题</groupName>
      <ability>L2_HalfPunc_CN</ability>
      <abilityName>全半角问题</abilityName>
      <candidateList>
        <item>”</item>
      </candidateList>
      <explain>文本全半角错误。</explain>
      <paraID>2A08D452</paraID>
      <start>138</start>
      <end>139</end>
      <status>modified</status>
      <modifiedWord>”</modifiedWord>
      <trackRevisions>false</trackRevisions>
    </reviewItem>
    <reviewItem>
      <errorID>9ba96372-cae1-46ce-acf0-c76c6caf6313</errorID>
      <errorWord>"</errorWord>
      <group>L1_Format</group>
      <groupName>格式问题</groupName>
      <ability>L2_HalfPunc_CN</ability>
      <abilityName>全半角问题</abilityName>
      <candidateList>
        <item>“</item>
      </candidateList>
      <explain>文本全半角错误。</explain>
      <paraID>2A08D452</paraID>
      <start>139</start>
      <end>140</end>
      <status>modified</status>
      <modifiedWord>“</modifiedWord>
      <trackRevisions>false</trackRevisions>
    </reviewItem>
    <reviewItem>
      <errorID>a0a7c1fb-68e5-4cfa-a2be-a408ef352ad8</errorID>
      <errorWord>"</errorWord>
      <group>L1_Format</group>
      <groupName>格式问题</groupName>
      <ability>L2_HalfPunc_CN</ability>
      <abilityName>全半角问题</abilityName>
      <candidateList>
        <item>”</item>
      </candidateList>
      <explain>文本全半角错误。</explain>
      <paraID>2A08D452</paraID>
      <start>144</start>
      <end>145</end>
      <status>modified</status>
      <modifiedWord>”</modifiedWord>
      <trackRevisions>false</trackRevisions>
    </reviewItem>
    <reviewItem>
      <errorID>18636f23-cf4c-489c-bf5d-5e6020c1700a</errorID>
      <errorWord>"</errorWord>
      <group>L1_Format</group>
      <groupName>格式问题</groupName>
      <ability>L2_HalfPunc_CN</ability>
      <abilityName>全半角问题</abilityName>
      <candidateList>
        <item>“</item>
      </candidateList>
      <explain>文本全半角错误。</explain>
      <paraID>2A08D452</paraID>
      <start>193</start>
      <end>194</end>
      <status>modified</status>
      <modifiedWord>“</modifiedWord>
      <trackRevisions>false</trackRevisions>
    </reviewItem>
    <reviewItem>
      <errorID>0b31bcde-37d5-4d5b-aeca-72759ca180e1</errorID>
      <errorWord>"</errorWord>
      <group>L1_Format</group>
      <groupName>格式问题</groupName>
      <ability>L2_HalfPunc_CN</ability>
      <abilityName>全半角问题</abilityName>
      <candidateList>
        <item>”</item>
      </candidateList>
      <explain>文本全半角错误。</explain>
      <paraID>2A08D452</paraID>
      <start>199</start>
      <end>200</end>
      <status>modified</status>
      <modifiedWord>”</modifiedWord>
      <trackRevisions>false</trackRevisions>
    </reviewItem>
    <reviewItem>
      <errorID>3cded98a-174b-47f0-abae-1bce57107dc7</errorID>
      <errorWord>"</errorWord>
      <group>L1_Format</group>
      <groupName>格式问题</groupName>
      <ability>L2_HalfPunc_CN</ability>
      <abilityName>全半角问题</abilityName>
      <candidateList>
        <item>“</item>
      </candidateList>
      <explain>文本全半角错误。</explain>
      <paraID>19C18842</paraID>
      <start>13</start>
      <end>14</end>
      <status>modified</status>
      <modifiedWord>“</modifiedWord>
      <trackRevisions>false</trackRevisions>
    </reviewItem>
    <reviewItem>
      <errorID>52babaec-4046-4c0e-9530-45173f17d9ff</errorID>
      <errorWord>"</errorWord>
      <group>L1_Format</group>
      <groupName>格式问题</groupName>
      <ability>L2_HalfPunc_CN</ability>
      <abilityName>全半角问题</abilityName>
      <candidateList>
        <item>”</item>
      </candidateList>
      <explain>文本全半角错误。</explain>
      <paraID>19C18842</paraID>
      <start>23</start>
      <end>24</end>
      <status>modified</status>
      <modifiedWord>”</modifiedWord>
      <trackRevisions>false</trackRevisions>
    </reviewItem>
    <reviewItem>
      <errorID>76d54a1d-0a7d-4548-972a-838faf31ee71</errorID>
      <errorWord>"</errorWord>
      <group>L1_Format</group>
      <groupName>格式问题</groupName>
      <ability>L2_HalfPunc_CN</ability>
      <abilityName>全半角问题</abilityName>
      <candidateList>
        <item>“</item>
      </candidateList>
      <explain>文本全半角错误。</explain>
      <paraID>19C18842</paraID>
      <start>54</start>
      <end>55</end>
      <status>modified</status>
      <modifiedWord>“</modifiedWord>
      <trackRevisions>false</trackRevisions>
    </reviewItem>
    <reviewItem>
      <errorID>b864515c-585e-4306-85a3-70717ab2f88b</errorID>
      <errorWord>"</errorWord>
      <group>L1_Format</group>
      <groupName>格式问题</groupName>
      <ability>L2_HalfPunc_CN</ability>
      <abilityName>全半角问题</abilityName>
      <candidateList>
        <item>”</item>
      </candidateList>
      <explain>文本全半角错误。</explain>
      <paraID>19C18842</paraID>
      <start>60</start>
      <end>61</end>
      <status>modified</status>
      <modifiedWord>”</modifiedWord>
      <trackRevisions>false</trackRevisions>
    </reviewItem>
    <reviewItem>
      <errorID>c080aad9-087e-4c18-8f11-9428006f19cd</errorID>
      <errorWord>"</errorWord>
      <group>L1_Format</group>
      <groupName>格式问题</groupName>
      <ability>L2_HalfPunc_CN</ability>
      <abilityName>全半角问题</abilityName>
      <candidateList>
        <item>“</item>
      </candidateList>
      <explain>文本全半角错误。</explain>
      <paraID>19C18842</paraID>
      <start>71</start>
      <end>72</end>
      <status>modified</status>
      <modifiedWord>“</modifiedWord>
      <trackRevisions>false</trackRevisions>
    </reviewItem>
    <reviewItem>
      <errorID>b2c4be65-b356-4f9a-863f-b3eb7d1fb5c5</errorID>
      <errorWord>"</errorWord>
      <group>L1_Format</group>
      <groupName>格式问题</groupName>
      <ability>L2_HalfPunc_CN</ability>
      <abilityName>全半角问题</abilityName>
      <candidateList>
        <item>”</item>
      </candidateList>
      <explain>文本全半角错误。</explain>
      <paraID>19C18842</paraID>
      <start>75</start>
      <end>76</end>
      <status>modified</status>
      <modifiedWord>”</modifiedWord>
      <trackRevisions>false</trackRevisions>
    </reviewItem>
    <reviewItem>
      <errorID>5e482001-2c49-4ff9-b84e-0d004385ddda</errorID>
      <errorWord>"</errorWord>
      <group>L1_Format</group>
      <groupName>格式问题</groupName>
      <ability>L2_HalfPunc_CN</ability>
      <abilityName>全半角问题</abilityName>
      <candidateList>
        <item>“</item>
      </candidateList>
      <explain>文本全半角错误。</explain>
      <paraID>586886EB</paraID>
      <start>169</start>
      <end>170</end>
      <status>modified</status>
      <modifiedWord>“</modifiedWord>
      <trackRevisions>false</trackRevisions>
    </reviewItem>
    <reviewItem>
      <errorID>d2d40dcb-d635-42f4-8fe6-b3654fcf010b</errorID>
      <errorWord>"</errorWord>
      <group>L1_Format</group>
      <groupName>格式问题</groupName>
      <ability>L2_HalfPunc_CN</ability>
      <abilityName>全半角问题</abilityName>
      <candidateList>
        <item>”</item>
      </candidateList>
      <explain>文本全半角错误。</explain>
      <paraID>586886EB</paraID>
      <start>178</start>
      <end>179</end>
      <status>modified</status>
      <modifiedWord>”</modifiedWord>
      <trackRevisions>false</trackRevisions>
    </reviewItem>
    <reviewItem>
      <errorID>ce413336-5bca-4a2f-b3b2-ae6e7b515ea1</errorID>
      <errorWord>"</errorWord>
      <group>L1_Format</group>
      <groupName>格式问题</groupName>
      <ability>L2_HalfPunc_CN</ability>
      <abilityName>全半角问题</abilityName>
      <candidateList>
        <item>“</item>
      </candidateList>
      <explain>文本全半角错误。</explain>
      <paraID>586886EB</paraID>
      <start>184</start>
      <end>185</end>
      <status>modified</status>
      <modifiedWord>“</modifiedWord>
      <trackRevisions>false</trackRevisions>
    </reviewItem>
    <reviewItem>
      <errorID>064526c6-5a1e-45c8-947b-e486a0d50b69</errorID>
      <errorWord>"</errorWord>
      <group>L1_Format</group>
      <groupName>格式问题</groupName>
      <ability>L2_HalfPunc_CN</ability>
      <abilityName>全半角问题</abilityName>
      <candidateList>
        <item>”</item>
      </candidateList>
      <explain>文本全半角错误。</explain>
      <paraID>586886EB</paraID>
      <start>190</start>
      <end>191</end>
      <status>modified</status>
      <modifiedWord>”</modifiedWord>
      <trackRevisions>false</trackRevisions>
    </reviewItem>
    <reviewItem>
      <errorID>a4ef0c5a-d4b5-4258-be68-ccc317916064</errorID>
      <errorWord>"</errorWord>
      <group>L1_Format</group>
      <groupName>格式问题</groupName>
      <ability>L2_HalfPunc_CN</ability>
      <abilityName>全半角问题</abilityName>
      <candidateList>
        <item>“</item>
      </candidateList>
      <explain>文本全半角错误。</explain>
      <paraID>6DD8A9AE</paraID>
      <start>189</start>
      <end>190</end>
      <status>modified</status>
      <modifiedWord>“</modifiedWord>
      <trackRevisions>false</trackRevisions>
    </reviewItem>
    <reviewItem>
      <errorID>b1536aa5-dd2f-48fb-855d-fc8ba40f85d9</errorID>
      <errorWord>"</errorWord>
      <group>L1_Format</group>
      <groupName>格式问题</groupName>
      <ability>L2_HalfPunc_CN</ability>
      <abilityName>全半角问题</abilityName>
      <candidateList>
        <item>”</item>
      </candidateList>
      <explain>文本全半角错误。</explain>
      <paraID>6DD8A9AE</paraID>
      <start>200</start>
      <end>201</end>
      <status>modified</status>
      <modifiedWord>”</modifiedWord>
      <trackRevisions>false</trackRevisions>
    </reviewItem>
    <reviewItem>
      <errorID>ac46352e-af2b-45da-a109-f84520b78ed2</errorID>
      <errorWord>"</errorWord>
      <group>L1_Format</group>
      <groupName>格式问题</groupName>
      <ability>L2_HalfPunc_CN</ability>
      <abilityName>全半角问题</abilityName>
      <candidateList>
        <item>“</item>
      </candidateList>
      <explain>文本全半角错误。</explain>
      <paraID>6DD8A9AE</paraID>
      <start>208</start>
      <end>209</end>
      <status>modified</status>
      <modifiedWord>“</modifiedWord>
      <trackRevisions>false</trackRevisions>
    </reviewItem>
    <reviewItem>
      <errorID>d7e3123c-97a4-4c6a-9bde-715420dfe7e2</errorID>
      <errorWord>"</errorWord>
      <group>L1_Format</group>
      <groupName>格式问题</groupName>
      <ability>L2_HalfPunc_CN</ability>
      <abilityName>全半角问题</abilityName>
      <candidateList>
        <item>”</item>
      </candidateList>
      <explain>文本全半角错误。</explain>
      <paraID>6DD8A9AE</paraID>
      <start>215</start>
      <end>216</end>
      <status>modified</status>
      <modifiedWord>”</modifiedWord>
      <trackRevisions>false</trackRevisions>
    </reviewItem>
    <reviewItem>
      <errorID>5742859a-4d20-45e3-b3dd-2a2c3772a7ef</errorID>
      <errorWord>。。</errorWord>
      <group>L1_Punc</group>
      <groupName>标点问题</groupName>
      <ability>L2_Punc_CN</ability>
      <abilityName>标点符号问题</abilityName>
      <candidateList>
        <item>。</item>
      </candidateList>
      <explain/>
      <paraID>6DD8A9AE</paraID>
      <start>216</start>
      <end>217</end>
      <status>modified</status>
      <modifiedWord>。</modifiedWord>
      <trackRevisions>false</trackRevisions>
    </reviewItem>
    <reviewItem>
      <errorID>e25b52f6-39b6-470f-a390-b82ee858319a</errorID>
      <errorWord>"</errorWord>
      <group>L1_Format</group>
      <groupName>格式问题</groupName>
      <ability>L2_HalfPunc_CN</ability>
      <abilityName>全半角问题</abilityName>
      <candidateList>
        <item>“</item>
      </candidateList>
      <explain>文本全半角错误。</explain>
      <paraID>26C2757B</paraID>
      <start>62</start>
      <end>63</end>
      <status>modified</status>
      <modifiedWord>“</modifiedWord>
      <trackRevisions>false</trackRevisions>
    </reviewItem>
    <reviewItem>
      <errorID>aee9d614-ead3-4c15-bb24-006d7cd1f3fa</errorID>
      <errorWord>"</errorWord>
      <group>L1_Format</group>
      <groupName>格式问题</groupName>
      <ability>L2_HalfPunc_CN</ability>
      <abilityName>全半角问题</abilityName>
      <candidateList>
        <item>”</item>
      </candidateList>
      <explain>文本全半角错误。</explain>
      <paraID>26C2757B</paraID>
      <start>83</start>
      <end>84</end>
      <status>modified</status>
      <modifiedWord>”</modifiedWord>
      <trackRevisions>false</trackRevisions>
    </reviewItem>
    <reviewItem>
      <errorID>6eec4a9a-48b1-4588-b223-c20c55d65d83</errorID>
      <errorWord>"</errorWord>
      <group>L1_Format</group>
      <groupName>格式问题</groupName>
      <ability>L2_HalfPunc_CN</ability>
      <abilityName>全半角问题</abilityName>
      <candidateList>
        <item>“</item>
      </candidateList>
      <explain>文本全半角错误。</explain>
      <paraID>26C2757B</paraID>
      <start>250</start>
      <end>251</end>
      <status>modified</status>
      <modifiedWord>“</modifiedWord>
      <trackRevisions>false</trackRevisions>
    </reviewItem>
    <reviewItem>
      <errorID>6bc15a00-1843-4097-8c3d-2815e048bf05</errorID>
      <errorWord>"</errorWord>
      <group>L1_Format</group>
      <groupName>格式问题</groupName>
      <ability>L2_HalfPunc_CN</ability>
      <abilityName>全半角问题</abilityName>
      <candidateList>
        <item>”</item>
      </candidateList>
      <explain>文本全半角错误。</explain>
      <paraID>26C2757B</paraID>
      <start>268</start>
      <end>269</end>
      <status>modified</status>
      <modifiedWord>”</modifiedWord>
      <trackRevisions>false</trackRevisions>
    </reviewItem>
    <reviewItem>
      <errorID>65ee73ad-5fe7-48fb-a052-4aea0ae0cfc5</errorID>
      <errorWord>"</errorWord>
      <group>L1_Format</group>
      <groupName>格式问题</groupName>
      <ability>L2_HalfPunc_CN</ability>
      <abilityName>全半角问题</abilityName>
      <candidateList>
        <item>“</item>
      </candidateList>
      <explain>文本全半角错误。</explain>
      <paraID>31E2B8E3</paraID>
      <start>75</start>
      <end>76</end>
      <status>modified</status>
      <modifiedWord>“</modifiedWord>
      <trackRevisions>false</trackRevisions>
    </reviewItem>
    <reviewItem>
      <errorID>6b06041e-8286-4dd6-936b-c62bf15a4b14</errorID>
      <errorWord>"</errorWord>
      <group>L1_Format</group>
      <groupName>格式问题</groupName>
      <ability>L2_HalfPunc_CN</ability>
      <abilityName>全半角问题</abilityName>
      <candidateList>
        <item>”</item>
      </candidateList>
      <explain>文本全半角错误。</explain>
      <paraID>31E2B8E3</paraID>
      <start>85</start>
      <end>86</end>
      <status>modified</status>
      <modifiedWord>”</modifiedWord>
      <trackRevisions>false</trackRevisions>
    </reviewItem>
    <reviewItem>
      <errorID>bd462b00-96d2-4234-b156-3a99a7743aa4</errorID>
      <errorWord>"</errorWord>
      <group>L1_Format</group>
      <groupName>格式问题</groupName>
      <ability>L2_HalfPunc_CN</ability>
      <abilityName>全半角问题</abilityName>
      <candidateList>
        <item>“</item>
      </candidateList>
      <explain>文本全半角错误。</explain>
      <paraID>7EABAA27</paraID>
      <start>26</start>
      <end>27</end>
      <status>modified</status>
      <modifiedWord>“</modifiedWord>
      <trackRevisions>false</trackRevisions>
    </reviewItem>
    <reviewItem>
      <errorID>5d6787c3-71f4-42a5-99fc-a9580e942d81</errorID>
      <errorWord>"</errorWord>
      <group>L1_Format</group>
      <groupName>格式问题</groupName>
      <ability>L2_HalfPunc_CN</ability>
      <abilityName>全半角问题</abilityName>
      <candidateList>
        <item>”</item>
      </candidateList>
      <explain>文本全半角错误。</explain>
      <paraID>7EABAA27</paraID>
      <start>41</start>
      <end>42</end>
      <status>modified</status>
      <modifiedWord>”</modifiedWord>
      <trackRevisions>false</trackRevisions>
    </reviewItem>
    <reviewItem>
      <errorID>ca1d1b29-96b4-407d-a131-1b1ace750ae1</errorID>
      <errorWord>"</errorWord>
      <group>L1_Format</group>
      <groupName>格式问题</groupName>
      <ability>L2_HalfPunc_CN</ability>
      <abilityName>全半角问题</abilityName>
      <candidateList>
        <item>“</item>
      </candidateList>
      <explain>文本全半角错误。</explain>
      <paraID>39761BAC</paraID>
      <start>17</start>
      <end>18</end>
      <status>modified</status>
      <modifiedWord>“</modifiedWord>
      <trackRevisions>false</trackRevisions>
    </reviewItem>
    <reviewItem>
      <errorID>208605b6-a768-4ae8-b49e-c6118e070bb2</errorID>
      <errorWord>"</errorWord>
      <group>L1_Format</group>
      <groupName>格式问题</groupName>
      <ability>L2_HalfPunc_CN</ability>
      <abilityName>全半角问题</abilityName>
      <candidateList>
        <item>”</item>
      </candidateList>
      <explain>文本全半角错误。</explain>
      <paraID>39761BAC</paraID>
      <start>26</start>
      <end>27</end>
      <status>modified</status>
      <modifiedWord>”</modifiedWord>
      <trackRevisions>false</trackRevisions>
    </reviewItem>
    <reviewItem>
      <errorID>dbb63cc9-9e6b-4233-9e04-5aa48e3dc4a5</errorID>
      <errorWord>"</errorWord>
      <group>L1_Format</group>
      <groupName>格式问题</groupName>
      <ability>L2_HalfPunc_CN</ability>
      <abilityName>全半角问题</abilityName>
      <candidateList>
        <item>“</item>
      </candidateList>
      <explain>文本全半角错误。</explain>
      <paraID>39761BAC</paraID>
      <start>152</start>
      <end>153</end>
      <status>modified</status>
      <modifiedWord>“</modifiedWord>
      <trackRevisions>false</trackRevisions>
    </reviewItem>
    <reviewItem>
      <errorID>65cec378-2814-430c-b8ab-0947910b8315</errorID>
      <errorWord>"</errorWord>
      <group>L1_Format</group>
      <groupName>格式问题</groupName>
      <ability>L2_HalfPunc_CN</ability>
      <abilityName>全半角问题</abilityName>
      <candidateList>
        <item>”</item>
      </candidateList>
      <explain>文本全半角错误。</explain>
      <paraID>39761BAC</paraID>
      <start>160</start>
      <end>161</end>
      <status>modified</status>
      <modifiedWord>”</modifiedWord>
      <trackRevisions>false</trackRevisions>
    </reviewItem>
    <reviewItem>
      <errorID>cbf74526-de3d-42a1-8d75-f86702dbd26c</errorID>
      <errorWord>"</errorWord>
      <group>L1_Format</group>
      <groupName>格式问题</groupName>
      <ability>L2_HalfPunc_CN</ability>
      <abilityName>全半角问题</abilityName>
      <candidateList>
        <item>“</item>
      </candidateList>
      <explain>文本全半角错误。</explain>
      <paraID>3CC83C57</paraID>
      <start>52</start>
      <end>53</end>
      <status>modified</status>
      <modifiedWord>“</modifiedWord>
      <trackRevisions>false</trackRevisions>
    </reviewItem>
    <reviewItem>
      <errorID>047a61c7-5c03-46e3-a1f0-f46793762768</errorID>
      <errorWord>"</errorWord>
      <group>L1_Format</group>
      <groupName>格式问题</groupName>
      <ability>L2_HalfPunc_CN</ability>
      <abilityName>全半角问题</abilityName>
      <candidateList>
        <item>”</item>
      </candidateList>
      <explain>文本全半角错误。</explain>
      <paraID>3CC83C57</paraID>
      <start>73</start>
      <end>74</end>
      <status>modified</status>
      <modifiedWord>”</modifiedWord>
      <trackRevisions>false</trackRevisions>
    </reviewItem>
    <reviewItem>
      <errorID>a966adc1-ed0a-4949-b7d4-f45b1ad35106</errorID>
      <errorWord>产产</errorWord>
      <group>L1_Word</group>
      <groupName>字词问题</groupName>
      <ability>L2_Typo</ability>
      <abilityName>字词错误</abilityName>
      <candidateList>
        <item>产</item>
      </candidateList>
      <explain/>
      <paraID>23F83473</paraID>
      <start>8</start>
      <end>10</end>
      <status>ignored</status>
      <modifiedWord/>
      <trackRevisions>false</trackRevisions>
    </reviewItem>
    <reviewItem>
      <errorID>c4101181-989e-420a-a8bb-b103b25244e4</errorID>
      <errorWord>"</errorWord>
      <group>L1_Format</group>
      <groupName>格式问题</groupName>
      <ability>L2_HalfPunc_CN</ability>
      <abilityName>全半角问题</abilityName>
      <candidateList>
        <item>“</item>
      </candidateList>
      <explain>文本全半角错误。</explain>
      <paraID>76E8BA71</paraID>
      <start>276</start>
      <end>277</end>
      <status>modified</status>
      <modifiedWord>“</modifiedWord>
      <trackRevisions>false</trackRevisions>
    </reviewItem>
    <reviewItem>
      <errorID>83aa1913-9e12-4b2c-94c7-3db1d1e625bd</errorID>
      <errorWord>"</errorWord>
      <group>L1_Format</group>
      <groupName>格式问题</groupName>
      <ability>L2_HalfPunc_CN</ability>
      <abilityName>全半角问题</abilityName>
      <candidateList>
        <item>”</item>
      </candidateList>
      <explain>文本全半角错误。</explain>
      <paraID>76E8BA71</paraID>
      <start>288</start>
      <end>289</end>
      <status>modified</status>
      <modifiedWord>”</modifiedWord>
      <trackRevisions>false</trackRevisions>
    </reviewItem>
    <reviewItem>
      <errorID>f65d17cd-b374-4b5d-b151-260d2e706404</errorID>
      <errorWord>全域国土综合整治</errorWord>
      <group>L1_Political</group>
      <groupName>政治性问题</groupName>
      <ability>L2_Keyword</ability>
      <abilityName>固定表述</abilityName>
      <candidateList>
        <item>全域土地综合整治</item>
      </candidateList>
      <explain>词汇“全域土地综合整治”在特定场景下为固定表述形式，请确认此处的“全域国土综合整治”是否存在不当。</explain>
      <paraID>28743A7A</paraID>
      <start>17</start>
      <end>25</end>
      <status>ignored</status>
      <modifiedWord/>
      <trackRevisions>false</trackRevisions>
    </reviewItem>
    <reviewItem>
      <errorID>8e0c7fcc-941d-4f3c-8807-44d19a4bc0a0</errorID>
      <errorWord>"</errorWord>
      <group>L1_Format</group>
      <groupName>格式问题</groupName>
      <ability>L2_HalfPunc_CN</ability>
      <abilityName>全半角问题</abilityName>
      <candidateList>
        <item>“</item>
      </candidateList>
      <explain>文本全半角错误。</explain>
      <paraID>1B6B489A</paraID>
      <start>143</start>
      <end>144</end>
      <status>modified</status>
      <modifiedWord>“</modifiedWord>
      <trackRevisions>false</trackRevisions>
    </reviewItem>
    <reviewItem>
      <errorID>df52f46d-e983-4fb1-b989-874b9378887a</errorID>
      <errorWord>"</errorWord>
      <group>L1_Format</group>
      <groupName>格式问题</groupName>
      <ability>L2_HalfPunc_CN</ability>
      <abilityName>全半角问题</abilityName>
      <candidateList>
        <item>”</item>
      </candidateList>
      <explain>文本全半角错误。</explain>
      <paraID>1B6B489A</paraID>
      <start>149</start>
      <end>150</end>
      <status>modified</status>
      <modifiedWord>”</modifiedWord>
      <trackRevisions>false</trackRevisions>
    </reviewItem>
    <reviewItem>
      <errorID>87afb7cd-ce42-4419-bdb4-917ddac1da96</errorID>
      <errorWord>"</errorWord>
      <group>L1_Format</group>
      <groupName>格式问题</groupName>
      <ability>L2_HalfPunc_CN</ability>
      <abilityName>全半角问题</abilityName>
      <candidateList>
        <item>“</item>
      </candidateList>
      <explain>文本全半角错误。</explain>
      <paraID>7E384E6A</paraID>
      <start>241</start>
      <end>242</end>
      <status>modified</status>
      <modifiedWord>“</modifiedWord>
      <trackRevisions>false</trackRevisions>
    </reviewItem>
    <reviewItem>
      <errorID>d2281d51-0480-4eef-b2ef-24fb27275d81</errorID>
      <errorWord>"</errorWord>
      <group>L1_Format</group>
      <groupName>格式问题</groupName>
      <ability>L2_HalfPunc_CN</ability>
      <abilityName>全半角问题</abilityName>
      <candidateList>
        <item>”</item>
      </candidateList>
      <explain>文本全半角错误。</explain>
      <paraID>7E384E6A</paraID>
      <start>256</start>
      <end>257</end>
      <status>modified</status>
      <modifiedWord>”</modifiedWord>
      <trackRevisions>false</trackRevisions>
    </reviewItem>
    <reviewItem>
      <errorID>4d2eade3-f5f9-40ab-be22-46375f554b03</errorID>
      <errorWord>，</errorWord>
      <group>L1_Word</group>
      <groupName>字词问题</groupName>
      <ability>L2_Typo</ability>
      <abilityName>字词错误</abilityName>
      <candidateList>
        <item>，在</item>
      </candidateList>
      <explain/>
      <paraID>2B11B40C</paraID>
      <start>19</start>
      <end>20</end>
      <status>ignored</status>
      <modifiedWord/>
      <trackRevisions>false</trackRevisions>
    </reviewItem>
    <reviewItem>
      <errorID>267cc809-f0c1-4188-ba43-278c82bea5ff</errorID>
      <errorWord>"双减"</errorWord>
      <group>L1_Political</group>
      <groupName>政治性问题</groupName>
      <ability>L2_Keyword</ability>
      <abilityName>固定表述</abilityName>
      <candidateList>
        <item>“双减”</item>
      </candidateList>
      <explain>注意检查当前固定表述标点是否使用规范。</explain>
      <paraID>6A1349E9</paraID>
      <start>106</start>
      <end>110</end>
      <status>modified</status>
      <modifiedWord>“双减”</modifiedWord>
      <trackRevisions>false</trackRevisions>
    </reviewItem>
    <reviewItem>
      <errorID>e65d4311-58cb-4f16-8024-84c6e8572db9</errorID>
      <errorWord>"</errorWord>
      <group>L1_Format</group>
      <groupName>格式问题</groupName>
      <ability>L2_HalfPunc_CN</ability>
      <abilityName>全半角问题</abilityName>
      <candidateList>
        <item>“</item>
      </candidateList>
      <explain>文本全半角错误。</explain>
      <paraID>6A1349E9</paraID>
      <start>113</start>
      <end>114</end>
      <status>modified</status>
      <modifiedWord>“</modifiedWord>
      <trackRevisions>false</trackRevisions>
    </reviewItem>
    <reviewItem>
      <errorID>dba9be3d-b007-4f01-a42d-7b2a6e0e4f0c</errorID>
      <errorWord>"</errorWord>
      <group>L1_Format</group>
      <groupName>格式问题</groupName>
      <ability>L2_HalfPunc_CN</ability>
      <abilityName>全半角问题</abilityName>
      <candidateList>
        <item>”</item>
      </candidateList>
      <explain>文本全半角错误。</explain>
      <paraID>6A1349E9</paraID>
      <start>118</start>
      <end>119</end>
      <status>modified</status>
      <modifiedWord>”</modifiedWord>
      <trackRevisions>false</trackRevisions>
    </reviewItem>
    <reviewItem>
      <errorID>8cd5ad09-04ce-418f-ac78-442a4024fbd9</errorID>
      <errorWord>"</errorWord>
      <group>L1_Format</group>
      <groupName>格式问题</groupName>
      <ability>L2_HalfPunc_CN</ability>
      <abilityName>全半角问题</abilityName>
      <candidateList>
        <item>“</item>
      </candidateList>
      <explain>文本全半角错误。</explain>
      <paraID>6A1349E9</paraID>
      <start>144</start>
      <end>145</end>
      <status>modified</status>
      <modifiedWord>“</modifiedWord>
      <trackRevisions>false</trackRevisions>
    </reviewItem>
    <reviewItem>
      <errorID>4d5934f1-65a5-46f1-a8ad-5ec9835536d7</errorID>
      <errorWord>"</errorWord>
      <group>L1_Format</group>
      <groupName>格式问题</groupName>
      <ability>L2_HalfPunc_CN</ability>
      <abilityName>全半角问题</abilityName>
      <candidateList>
        <item>”</item>
      </candidateList>
      <explain>文本全半角错误。</explain>
      <paraID>6A1349E9</paraID>
      <start>149</start>
      <end>150</end>
      <status>modified</status>
      <modifiedWord>”</modifiedWord>
      <trackRevisions>false</trackRevisions>
    </reviewItem>
    <reviewItem>
      <errorID>c04a264d-34fb-4c20-9b26-b2d984673b08</errorID>
      <errorWord>"雪亮工程"</errorWord>
      <group>L1_Political</group>
      <groupName>政治性问题</groupName>
      <ability>L2_Keyword</ability>
      <abilityName>固定表述</abilityName>
      <candidateList>
        <item>“雪亮工程”</item>
      </candidateList>
      <explain>注意检查当前固定表述标点是否使用规范。</explain>
      <paraID>6A1349E9</paraID>
      <start>150</start>
      <end>156</end>
      <status>modified</status>
      <modifiedWord>“雪亮工程”</modifiedWord>
      <trackRevisions>false</trackRevisions>
    </reviewItem>
    <reviewItem>
      <errorID>35b611ac-8a35-4eb5-a177-f0ffc7629c97</errorID>
      <errorWord>"</errorWord>
      <group>L1_Format</group>
      <groupName>格式问题</groupName>
      <ability>L2_HalfPunc_CN</ability>
      <abilityName>全半角问题</abilityName>
      <candidateList>
        <item>“</item>
      </candidateList>
      <explain>文本全半角错误。</explain>
      <paraID>44E96DB6</paraID>
      <start>85</start>
      <end>86</end>
      <status>modified</status>
      <modifiedWord>“</modifiedWord>
      <trackRevisions>false</trackRevisions>
    </reviewItem>
    <reviewItem>
      <errorID>2489c19b-4bc9-4cf4-9e56-e6714f0ee46a</errorID>
      <errorWord>"</errorWord>
      <group>L1_Format</group>
      <groupName>格式问题</groupName>
      <ability>L2_HalfPunc_CN</ability>
      <abilityName>全半角问题</abilityName>
      <candidateList>
        <item>”</item>
      </candidateList>
      <explain>文本全半角错误。</explain>
      <paraID>44E96DB6</paraID>
      <start>98</start>
      <end>99</end>
      <status>modified</status>
      <modifiedWord>”</modifiedWord>
      <trackRevisions>false</trackRevisions>
    </reviewItem>
    <reviewItem>
      <errorID>6297abe7-4d91-4d9e-be4d-e95eef701904</errorID>
      <errorWord>"</errorWord>
      <group>L1_Format</group>
      <groupName>格式问题</groupName>
      <ability>L2_HalfPunc_CN</ability>
      <abilityName>全半角问题</abilityName>
      <candidateList>
        <item>“</item>
      </candidateList>
      <explain>文本全半角错误。</explain>
      <paraID>44E96DB6</paraID>
      <start>102</start>
      <end>103</end>
      <status>modified</status>
      <modifiedWord>“</modifiedWord>
      <trackRevisions>false</trackRevisions>
    </reviewItem>
    <reviewItem>
      <errorID>51ad6799-52c5-47fb-bd8d-10d0d74476df</errorID>
      <errorWord>"</errorWord>
      <group>L1_Format</group>
      <groupName>格式问题</groupName>
      <ability>L2_HalfPunc_CN</ability>
      <abilityName>全半角问题</abilityName>
      <candidateList>
        <item>”</item>
      </candidateList>
      <explain>文本全半角错误。</explain>
      <paraID>44E96DB6</paraID>
      <start>107</start>
      <end>108</end>
      <status>modified</status>
      <modifiedWord>”</modifiedWord>
      <trackRevisions>false</trackRevisions>
    </reviewItem>
    <reviewItem>
      <errorID>518bde75-e6d7-4dfe-a613-833bc012b678</errorID>
      <errorWord>"</errorWord>
      <group>L1_Format</group>
      <groupName>格式问题</groupName>
      <ability>L2_HalfPunc_CN</ability>
      <abilityName>全半角问题</abilityName>
      <candidateList>
        <item>“</item>
      </candidateList>
      <explain>文本全半角错误。</explain>
      <paraID>44E96DB6</paraID>
      <start>108</start>
      <end>109</end>
      <status>modified</status>
      <modifiedWord>“</modifiedWord>
      <trackRevisions>false</trackRevisions>
    </reviewItem>
    <reviewItem>
      <errorID>e4a93d7b-417d-4326-bf72-415d0e143538</errorID>
      <errorWord>"</errorWord>
      <group>L1_Format</group>
      <groupName>格式问题</groupName>
      <ability>L2_HalfPunc_CN</ability>
      <abilityName>全半角问题</abilityName>
      <candidateList>
        <item>”</item>
      </candidateList>
      <explain>文本全半角错误。</explain>
      <paraID>44E96DB6</paraID>
      <start>113</start>
      <end>114</end>
      <status>modified</status>
      <modifiedWord>”</modifiedWord>
      <trackRevisions>false</trackRevisions>
    </reviewItem>
    <reviewItem>
      <errorID>73f83f28-ab4a-44b8-908f-0b8af0701818</errorID>
      <errorWord>"</errorWord>
      <group>L1_Format</group>
      <groupName>格式问题</groupName>
      <ability>L2_HalfPunc_CN</ability>
      <abilityName>全半角问题</abilityName>
      <candidateList>
        <item>“</item>
      </candidateList>
      <explain>文本全半角错误。</explain>
      <paraID>19638D8E</paraID>
      <start>111</start>
      <end>112</end>
      <status>modified</status>
      <modifiedWord>“</modifiedWord>
      <trackRevisions>false</trackRevisions>
    </reviewItem>
    <reviewItem>
      <errorID>4c0d7cf9-8980-4920-9c49-eef987d094d5</errorID>
      <errorWord>"</errorWord>
      <group>L1_Format</group>
      <groupName>格式问题</groupName>
      <ability>L2_HalfPunc_CN</ability>
      <abilityName>全半角问题</abilityName>
      <candidateList>
        <item>”</item>
      </candidateList>
      <explain>文本全半角错误。</explain>
      <paraID>19638D8E</paraID>
      <start>121</start>
      <end>122</end>
      <status>modified</status>
      <modifiedWord>”</modifiedWord>
      <trackRevisions>false</trackRevisions>
    </reviewItem>
    <reviewItem>
      <errorID>1ba00168-15e7-4647-bbb3-f99cab2c502d</errorID>
      <errorWord>"</errorWord>
      <group>L1_Format</group>
      <groupName>格式问题</groupName>
      <ability>L2_HalfPunc_CN</ability>
      <abilityName>全半角问题</abilityName>
      <candidateList>
        <item>“</item>
      </candidateList>
      <explain>文本全半角错误。</explain>
      <paraID>79B0BE8C</paraID>
      <start>73</start>
      <end>74</end>
      <status>modified</status>
      <modifiedWord>“</modifiedWord>
      <trackRevisions>false</trackRevisions>
    </reviewItem>
    <reviewItem>
      <errorID>c79e0901-ca27-4519-b3d7-45d452139b67</errorID>
      <errorWord>"</errorWord>
      <group>L1_Format</group>
      <groupName>格式问题</groupName>
      <ability>L2_HalfPunc_CN</ability>
      <abilityName>全半角问题</abilityName>
      <candidateList>
        <item>”</item>
      </candidateList>
      <explain>文本全半角错误。</explain>
      <paraID>79B0BE8C</paraID>
      <start>78</start>
      <end>79</end>
      <status>modified</status>
      <modifiedWord>”</modifiedWord>
      <trackRevisions>false</trackRevisions>
    </reviewItem>
    <reviewItem>
      <errorID>186c0ae3-ff6d-49eb-aa10-6c5271d57282</errorID>
      <errorWord>"</errorWord>
      <group>L1_Format</group>
      <groupName>格式问题</groupName>
      <ability>L2_HalfPunc_CN</ability>
      <abilityName>全半角问题</abilityName>
      <candidateList>
        <item>“</item>
      </candidateList>
      <explain>文本全半角错误。</explain>
      <paraID>79B0BE8C</paraID>
      <start>158</start>
      <end>159</end>
      <status>modified</status>
      <modifiedWord>“</modifiedWord>
      <trackRevisions>false</trackRevisions>
    </reviewItem>
    <reviewItem>
      <errorID>934b3d6b-729c-451f-bcf2-a67b908f7f98</errorID>
      <errorWord>"</errorWord>
      <group>L1_Format</group>
      <groupName>格式问题</groupName>
      <ability>L2_HalfPunc_CN</ability>
      <abilityName>全半角问题</abilityName>
      <candidateList>
        <item>”</item>
      </candidateList>
      <explain>文本全半角错误。</explain>
      <paraID>79B0BE8C</paraID>
      <start>164</start>
      <end>165</end>
      <status>modified</status>
      <modifiedWord>”</modifiedWord>
      <trackRevisions>false</trackRevisions>
    </reviewItem>
    <reviewItem>
      <errorID>eea75581-8c1e-4e71-a418-b8a276ec6bd3</errorID>
      <errorWord>"</errorWord>
      <group>L1_Format</group>
      <groupName>格式问题</groupName>
      <ability>L2_HalfPunc_CN</ability>
      <abilityName>全半角问题</abilityName>
      <candidateList>
        <item>“</item>
      </candidateList>
      <explain>文本全半角错误。</explain>
      <paraID>79B0BE8C</paraID>
      <start>170</start>
      <end>171</end>
      <status>modified</status>
      <modifiedWord>“</modifiedWord>
      <trackRevisions>false</trackRevisions>
    </reviewItem>
    <reviewItem>
      <errorID>db636f69-0b5d-42ab-9db4-7a19c6958023</errorID>
      <errorWord>"</errorWord>
      <group>L1_Format</group>
      <groupName>格式问题</groupName>
      <ability>L2_HalfPunc_CN</ability>
      <abilityName>全半角问题</abilityName>
      <candidateList>
        <item>”</item>
      </candidateList>
      <explain>文本全半角错误。</explain>
      <paraID>79B0BE8C</paraID>
      <start>177</start>
      <end>178</end>
      <status>modified</status>
      <modifiedWord>”</modifiedWord>
      <trackRevisions>false</trackRevisions>
    </reviewItem>
    <reviewItem>
      <errorID>3341ccb7-d5c8-4a00-b11a-e5899b2c2328</errorID>
      <errorWord>"</errorWord>
      <group>L1_Format</group>
      <groupName>格式问题</groupName>
      <ability>L2_HalfPunc_CN</ability>
      <abilityName>全半角问题</abilityName>
      <candidateList>
        <item>“</item>
      </candidateList>
      <explain>文本全半角错误。</explain>
      <paraID>669713F4</paraID>
      <start>70</start>
      <end>71</end>
      <status>modified</status>
      <modifiedWord>“</modifiedWord>
      <trackRevisions>false</trackRevisions>
    </reviewItem>
    <reviewItem>
      <errorID>197dd973-9f38-452a-9410-486f0c9a541a</errorID>
      <errorWord>"</errorWord>
      <group>L1_Format</group>
      <groupName>格式问题</groupName>
      <ability>L2_HalfPunc_CN</ability>
      <abilityName>全半角问题</abilityName>
      <candidateList>
        <item>”</item>
      </candidateList>
      <explain>文本全半角错误。</explain>
      <paraID>669713F4</paraID>
      <start>75</start>
      <end>76</end>
      <status>modified</status>
      <modifiedWord>”</modifiedWord>
      <trackRevisions>false</trackRevisions>
    </reviewItem>
    <reviewItem>
      <errorID>e58fb556-df89-415f-a562-459a3a465f52</errorID>
      <errorWord>"</errorWord>
      <group>L1_Format</group>
      <groupName>格式问题</groupName>
      <ability>L2_HalfPunc_CN</ability>
      <abilityName>全半角问题</abilityName>
      <candidateList>
        <item>“</item>
      </candidateList>
      <explain>文本全半角错误。</explain>
      <paraID>669713F4</paraID>
      <start>135</start>
      <end>136</end>
      <status>modified</status>
      <modifiedWord>“</modifiedWord>
      <trackRevisions>false</trackRevisions>
    </reviewItem>
    <reviewItem>
      <errorID>38287d09-c35d-49aa-baba-f222e122b0ec</errorID>
      <errorWord>"</errorWord>
      <group>L1_Format</group>
      <groupName>格式问题</groupName>
      <ability>L2_HalfPunc_CN</ability>
      <abilityName>全半角问题</abilityName>
      <candidateList>
        <item>”</item>
      </candidateList>
      <explain>文本全半角错误。</explain>
      <paraID>669713F4</paraID>
      <start>146</start>
      <end>147</end>
      <status>modified</status>
      <modifiedWord>”</modifiedWord>
      <trackRevisions>false</trackRevisions>
    </reviewItem>
    <reviewItem>
      <errorID>d2db601c-b858-42a1-9663-803fa71afbba</errorID>
      <errorWord>"</errorWord>
      <group>L1_Format</group>
      <groupName>格式问题</groupName>
      <ability>L2_HalfPunc_CN</ability>
      <abilityName>全半角问题</abilityName>
      <candidateList>
        <item>“</item>
      </candidateList>
      <explain>文本全半角错误。</explain>
      <paraID>669713F4</paraID>
      <start>162</start>
      <end>163</end>
      <status>modified</status>
      <modifiedWord>“</modifiedWord>
      <trackRevisions>false</trackRevisions>
    </reviewItem>
    <reviewItem>
      <errorID>945eae56-29b4-45b8-9acb-e85983e660d8</errorID>
      <errorWord>"</errorWord>
      <group>L1_Format</group>
      <groupName>格式问题</groupName>
      <ability>L2_HalfPunc_CN</ability>
      <abilityName>全半角问题</abilityName>
      <candidateList>
        <item>”</item>
      </candidateList>
      <explain>文本全半角错误。</explain>
      <paraID>669713F4</paraID>
      <start>174</start>
      <end>175</end>
      <status>modified</status>
      <modifiedWord>”</modifiedWord>
      <trackRevisions>false</trackRevisions>
    </reviewItem>
    <reviewItem>
      <errorID>a9df58cb-37b6-4b17-b218-4125d3e00202</errorID>
      <errorWord>"</errorWord>
      <group>L1_Format</group>
      <groupName>格式问题</groupName>
      <ability>L2_HalfPunc_CN</ability>
      <abilityName>全半角问题</abilityName>
      <candidateList>
        <item>“</item>
      </candidateList>
      <explain>文本全半角错误。</explain>
      <paraID>669713F4</paraID>
      <start>252</start>
      <end>253</end>
      <status>modified</status>
      <modifiedWord>“</modifiedWord>
      <trackRevisions>false</trackRevisions>
    </reviewItem>
    <reviewItem>
      <errorID>fa684e95-434e-4582-8e45-dc0a437f2b87</errorID>
      <errorWord>"</errorWord>
      <group>L1_Format</group>
      <groupName>格式问题</groupName>
      <ability>L2_HalfPunc_CN</ability>
      <abilityName>全半角问题</abilityName>
      <candidateList>
        <item>”</item>
      </candidateList>
      <explain>文本全半角错误。</explain>
      <paraID>669713F4</paraID>
      <start>258</start>
      <end>259</end>
      <status>modified</status>
      <modifiedWord>”</modifiedWord>
      <trackRevisions>false</trackRevisions>
    </reviewItem>
    <reviewItem>
      <errorID>a8c24225-997c-48c2-af0d-0a0a5e4f1eb1</errorID>
      <errorWord>"</errorWord>
      <group>L1_Format</group>
      <groupName>格式问题</groupName>
      <ability>L2_HalfPunc_CN</ability>
      <abilityName>全半角问题</abilityName>
      <candidateList>
        <item>“</item>
      </candidateList>
      <explain>文本全半角错误。</explain>
      <paraID>3F3414B2</paraID>
      <start>45</start>
      <end>46</end>
      <status>modified</status>
      <modifiedWord>“</modifiedWord>
      <trackRevisions>false</trackRevisions>
    </reviewItem>
    <reviewItem>
      <errorID>ec14c04a-dac6-4320-861b-5a5bc35780b2</errorID>
      <errorWord>"</errorWord>
      <group>L1_Format</group>
      <groupName>格式问题</groupName>
      <ability>L2_HalfPunc_CN</ability>
      <abilityName>全半角问题</abilityName>
      <candidateList>
        <item>”</item>
      </candidateList>
      <explain>文本全半角错误。</explain>
      <paraID>3F3414B2</paraID>
      <start>64</start>
      <end>65</end>
      <status>modified</status>
      <modifiedWord>”</modifiedWord>
      <trackRevisions>false</trackRevisions>
    </reviewItem>
    <reviewItem>
      <errorID>e016f2fd-465e-45a5-aba3-d6b5c08dca5a</errorID>
      <errorWord>"</errorWord>
      <group>L1_Format</group>
      <groupName>格式问题</groupName>
      <ability>L2_HalfPunc_CN</ability>
      <abilityName>全半角问题</abilityName>
      <candidateList>
        <item>“</item>
      </candidateList>
      <explain>文本全半角错误。</explain>
      <paraID>  2F0AEC</paraID>
      <start>11</start>
      <end>12</end>
      <status>modified</status>
      <modifiedWord>“</modifiedWord>
      <trackRevisions>false</trackRevisions>
    </reviewItem>
    <reviewItem>
      <errorID>e78dd161-0c13-4679-8819-fa746a7c187a</errorID>
      <errorWord>"</errorWord>
      <group>L1_Format</group>
      <groupName>格式问题</groupName>
      <ability>L2_HalfPunc_CN</ability>
      <abilityName>全半角问题</abilityName>
      <candidateList>
        <item>”</item>
      </candidateList>
      <explain>文本全半角错误。</explain>
      <paraID>  2F0AEC</paraID>
      <start>26</start>
      <end>27</end>
      <status>modified</status>
      <modifiedWord>”</modifiedWord>
      <trackRevisions>false</trackRevisions>
    </reviewItem>
    <reviewItem>
      <errorID>3b266836-740f-4435-a569-80adf1f4d90a</errorID>
      <errorWord>"雪亮工程"</errorWord>
      <group>L1_Political</group>
      <groupName>政治性问题</groupName>
      <ability>L2_Keyword</ability>
      <abilityName>固定表述</abilityName>
      <candidateList>
        <item>“雪亮工程”</item>
      </candidateList>
      <explain>注意检查当前固定表述标点是否使用规范。</explain>
      <paraID>  2F0AEC</paraID>
      <start>32</start>
      <end>38</end>
      <status>modified</status>
      <modifiedWord>“雪亮工程”</modifiedWord>
      <trackRevisions>false</trackRevisions>
    </reviewItem>
    <reviewItem>
      <errorID>7e94fa20-4a42-4bcc-923c-46aae9a6f625</errorID>
      <errorWord>"</errorWord>
      <group>L1_Format</group>
      <groupName>格式问题</groupName>
      <ability>L2_HalfPunc_CN</ability>
      <abilityName>全半角问题</abilityName>
      <candidateList>
        <item>“</item>
      </candidateList>
      <explain>文本全半角错误。</explain>
      <paraID>  2F0AEC</paraID>
      <start>110</start>
      <end>111</end>
      <status>modified</status>
      <modifiedWord>“</modifiedWord>
      <trackRevisions>false</trackRevisions>
    </reviewItem>
    <reviewItem>
      <errorID>f5f25765-3715-48f8-ad19-7517dd7081ae</errorID>
      <errorWord>"</errorWord>
      <group>L1_Format</group>
      <groupName>格式问题</groupName>
      <ability>L2_HalfPunc_CN</ability>
      <abilityName>全半角问题</abilityName>
      <candidateList>
        <item>”</item>
      </candidateList>
      <explain>文本全半角错误。</explain>
      <paraID>  2F0AEC</paraID>
      <start>116</start>
      <end>117</end>
      <status>modified</status>
      <modifiedWord>”</modifiedWord>
      <trackRevisions>false</trackRevisions>
    </reviewItem>
    <reviewItem>
      <errorID>6a0ad9c4-abc3-414d-b197-c8c24a1a3082</errorID>
      <errorWord>"</errorWord>
      <group>L1_Format</group>
      <groupName>格式问题</groupName>
      <ability>L2_HalfPunc_CN</ability>
      <abilityName>全半角问题</abilityName>
      <candidateList>
        <item>“</item>
      </candidateList>
      <explain>文本全半角错误。</explain>
      <paraID>  2F0AEC</paraID>
      <start>212</start>
      <end>213</end>
      <status>modified</status>
      <modifiedWord>“</modifiedWord>
      <trackRevisions>false</trackRevisions>
    </reviewItem>
    <reviewItem>
      <errorID>d23f249d-b4a0-48a7-922f-8dcee1702956</errorID>
      <errorWord>"</errorWord>
      <group>L1_Format</group>
      <groupName>格式问题</groupName>
      <ability>L2_HalfPunc_CN</ability>
      <abilityName>全半角问题</abilityName>
      <candidateList>
        <item>”</item>
      </candidateList>
      <explain>文本全半角错误。</explain>
      <paraID>  2F0AEC</paraID>
      <start>222</start>
      <end>223</end>
      <status>modified</status>
      <modifiedWord>”</modifiedWord>
      <trackRevisions>false</trackRevisions>
    </reviewItem>
    <reviewItem>
      <errorID>d980f57c-5183-4150-85a1-19284cdf1684</errorID>
      <errorWord>"</errorWord>
      <group>L1_Format</group>
      <groupName>格式问题</groupName>
      <ability>L2_HalfPunc_CN</ability>
      <abilityName>全半角问题</abilityName>
      <candidateList>
        <item>“</item>
      </candidateList>
      <explain>文本全半角错误。</explain>
      <paraID>  2F0AEC</paraID>
      <start>241</start>
      <end>242</end>
      <status>modified</status>
      <modifiedWord>“</modifiedWord>
      <trackRevisions>false</trackRevisions>
    </reviewItem>
    <reviewItem>
      <errorID>d7e44b14-d5f4-49d8-8e80-a7c0af2f511b</errorID>
      <errorWord>"</errorWord>
      <group>L1_Format</group>
      <groupName>格式问题</groupName>
      <ability>L2_HalfPunc_CN</ability>
      <abilityName>全半角问题</abilityName>
      <candidateList>
        <item>”</item>
      </candidateList>
      <explain>文本全半角错误。</explain>
      <paraID>  2F0AEC</paraID>
      <start>244</start>
      <end>245</end>
      <status>modified</status>
      <modifiedWord>”</modifiedWord>
      <trackRevisions>false</trackRevisions>
    </reviewItem>
    <reviewItem>
      <errorID>b7b7e2df-45cf-41f6-9e48-1eba180fce6f</errorID>
      <errorWord>"</errorWord>
      <group>L1_Format</group>
      <groupName>格式问题</groupName>
      <ability>L2_HalfPunc_CN</ability>
      <abilityName>全半角问题</abilityName>
      <candidateList>
        <item>“</item>
      </candidateList>
      <explain>文本全半角错误。</explain>
      <paraID>  2F0AEC</paraID>
      <start>279</start>
      <end>280</end>
      <status>modified</status>
      <modifiedWord>“</modifiedWord>
      <trackRevisions>false</trackRevisions>
    </reviewItem>
    <reviewItem>
      <errorID>10dee764-c4b0-4210-9278-12ced413d1e5</errorID>
      <errorWord>"</errorWord>
      <group>L1_Format</group>
      <groupName>格式问题</groupName>
      <ability>L2_HalfPunc_CN</ability>
      <abilityName>全半角问题</abilityName>
      <candidateList>
        <item>”</item>
      </candidateList>
      <explain>文本全半角错误。</explain>
      <paraID>  2F0AEC</paraID>
      <start>283</start>
      <end>284</end>
      <status>modified</status>
      <modifiedWord>”</modifiedWord>
      <trackRevisions>false</trackRevisions>
    </reviewItem>
    <reviewItem>
      <errorID>cdd53c6a-4360-4906-afbd-a7f709c6e292</errorID>
      <errorWord>"</errorWord>
      <group>L1_Format</group>
      <groupName>格式问题</groupName>
      <ability>L2_HalfPunc_CN</ability>
      <abilityName>全半角问题</abilityName>
      <candidateList>
        <item>“</item>
      </candidateList>
      <explain>文本全半角错误。</explain>
      <paraID>316ED9A8</paraID>
      <start>45</start>
      <end>46</end>
      <status>modified</status>
      <modifiedWord>“</modifiedWord>
      <trackRevisions>false</trackRevisions>
    </reviewItem>
    <reviewItem>
      <errorID>5e99ea46-db64-403d-94c3-e512b09241c1</errorID>
      <errorWord>"</errorWord>
      <group>L1_Format</group>
      <groupName>格式问题</groupName>
      <ability>L2_HalfPunc_CN</ability>
      <abilityName>全半角问题</abilityName>
      <candidateList>
        <item>”</item>
      </candidateList>
      <explain>文本全半角错误。</explain>
      <paraID>316ED9A8</paraID>
      <start>60</start>
      <end>61</end>
      <status>modified</status>
      <modifiedWord>”</modifiedWord>
      <trackRevisions>false</trackRevisions>
    </reviewItem>
    <reviewItem>
      <errorID>24a579ea-44d5-4ddc-8cfd-7d3a5bb3ca71</errorID>
      <errorWord>遏制耕地"非农化"、防止"非粮化"</errorWord>
      <group>L1_Political</group>
      <groupName>政治性问题</groupName>
      <ability>L2_Keyword</ability>
      <abilityName>固定表述</abilityName>
      <candidateList>
        <item>遏制耕地“非农化”、防止“非粮化”</item>
      </candidateList>
      <explain>注意检查当前固定表述标点是否使用规范。</explain>
      <paraID>7379F79D</paraID>
      <start>36</start>
      <end>53</end>
      <status>modified</status>
      <modifiedWord>遏制耕地“非农化”、防止“非粮化”</modifiedWord>
      <trackRevisions>false</trackRevisions>
    </reviewItem>
    <reviewItem>
      <errorID>302c50c3-dd7f-4d4c-b803-673f04520493</errorID>
      <errorWord>"</errorWord>
      <group>L1_Format</group>
      <groupName>格式问题</groupName>
      <ability>L2_HalfPunc_CN</ability>
      <abilityName>全半角问题</abilityName>
      <candidateList>
        <item>“</item>
      </candidateList>
      <explain>文本全半角错误。</explain>
      <paraID>13AAD512</paraID>
      <start>26</start>
      <end>27</end>
      <status>modified</status>
      <modifiedWord>“</modifiedWord>
      <trackRevisions>false</trackRevisions>
    </reviewItem>
    <reviewItem>
      <errorID>06ee3fb5-c4e2-426d-9534-1b21349bf664</errorID>
      <errorWord>"</errorWord>
      <group>L1_Format</group>
      <groupName>格式问题</groupName>
      <ability>L2_HalfPunc_CN</ability>
      <abilityName>全半角问题</abilityName>
      <candidateList>
        <item>”</item>
      </candidateList>
      <explain>文本全半角错误。</explain>
      <paraID>13AAD512</paraID>
      <start>35</start>
      <end>36</end>
      <status>modified</status>
      <modifiedWord>”</modifiedWord>
      <trackRevisions>false</trackRevisions>
    </reviewItem>
    <reviewItem>
      <errorID>06690919-ee63-4330-82d9-473881c390d4</errorID>
      <errorWord>"</errorWord>
      <group>L1_Format</group>
      <groupName>格式问题</groupName>
      <ability>L2_HalfPunc_CN</ability>
      <abilityName>全半角问题</abilityName>
      <candidateList>
        <item>“</item>
      </candidateList>
      <explain>文本全半角错误。</explain>
      <paraID>13AAD512</paraID>
      <start>61</start>
      <end>62</end>
      <status>modified</status>
      <modifiedWord>“</modifiedWord>
      <trackRevisions>false</trackRevisions>
    </reviewItem>
    <reviewItem>
      <errorID>7aea8ed3-35d4-49f1-9bfc-6f61856a241d</errorID>
      <errorWord>"</errorWord>
      <group>L1_Format</group>
      <groupName>格式问题</groupName>
      <ability>L2_HalfPunc_CN</ability>
      <abilityName>全半角问题</abilityName>
      <candidateList>
        <item>”</item>
      </candidateList>
      <explain>文本全半角错误。</explain>
      <paraID>13AAD512</paraID>
      <start>65</start>
      <end>66</end>
      <status>modified</status>
      <modifiedWord>”</modifiedWord>
      <trackRevisions>false</trackRevisions>
    </reviewItem>
    <reviewItem>
      <errorID>f78a675d-99df-4712-98cc-a57cc4e85c09</errorID>
      <errorWord>"</errorWord>
      <group>L1_Format</group>
      <groupName>格式问题</groupName>
      <ability>L2_HalfPunc_CN</ability>
      <abilityName>全半角问题</abilityName>
      <candidateList>
        <item>“</item>
      </candidateList>
      <explain>文本全半角错误。</explain>
      <paraID>795289AF</paraID>
      <start>217</start>
      <end>218</end>
      <status>modified</status>
      <modifiedWord>“</modifiedWord>
      <trackRevisions>false</trackRevisions>
    </reviewItem>
    <reviewItem>
      <errorID>c2f1dd46-a64e-4d80-8aea-bc26cf1505df</errorID>
      <errorWord>"</errorWord>
      <group>L1_Format</group>
      <groupName>格式问题</groupName>
      <ability>L2_HalfPunc_CN</ability>
      <abilityName>全半角问题</abilityName>
      <candidateList>
        <item>”</item>
      </candidateList>
      <explain>文本全半角错误。</explain>
      <paraID>795289AF</paraID>
      <start>221</start>
      <end>222</end>
      <status>modified</status>
      <modifiedWord>”</modifiedWord>
      <trackRevisions>false</trackRevisions>
    </reviewItem>
    <reviewItem>
      <errorID>1567ba45-677c-43a3-b6c2-7daa28a853c9</errorID>
      <errorWord>"</errorWord>
      <group>L1_Format</group>
      <groupName>格式问题</groupName>
      <ability>L2_HalfPunc_CN</ability>
      <abilityName>全半角问题</abilityName>
      <candidateList>
        <item>“</item>
      </candidateList>
      <explain>文本全半角错误。</explain>
      <paraID>25733352</paraID>
      <start>15</start>
      <end>16</end>
      <status>modified</status>
      <modifiedWord>“</modifiedWord>
      <trackRevisions>false</trackRevisions>
    </reviewItem>
    <reviewItem>
      <errorID>247d9e4f-6814-47b5-bb26-9560f5349a8c</errorID>
      <errorWord>"</errorWord>
      <group>L1_Format</group>
      <groupName>格式问题</groupName>
      <ability>L2_HalfPunc_CN</ability>
      <abilityName>全半角问题</abilityName>
      <candidateList>
        <item>”</item>
      </candidateList>
      <explain>文本全半角错误。</explain>
      <paraID>25733352</paraID>
      <start>30</start>
      <end>31</end>
      <status>modified</status>
      <modifiedWord>”</modifiedWord>
      <trackRevisions>false</trackRevisions>
    </reviewItem>
    <reviewItem>
      <errorID>6cd7fcf9-974a-4f9d-93e7-8b6fe0445296</errorID>
      <errorWord>"</errorWord>
      <group>L1_Format</group>
      <groupName>格式问题</groupName>
      <ability>L2_HalfPunc_CN</ability>
      <abilityName>全半角问题</abilityName>
      <candidateList>
        <item>“</item>
      </candidateList>
      <explain>文本全半角错误。</explain>
      <paraID>25733352</paraID>
      <start>145</start>
      <end>146</end>
      <status>modified</status>
      <modifiedWord>“</modifiedWord>
      <trackRevisions>false</trackRevisions>
    </reviewItem>
    <reviewItem>
      <errorID>e092759f-9fdc-476b-9ad4-ac1c089c35c5</errorID>
      <errorWord>"</errorWord>
      <group>L1_Format</group>
      <groupName>格式问题</groupName>
      <ability>L2_HalfPunc_CN</ability>
      <abilityName>全半角问题</abilityName>
      <candidateList>
        <item>”</item>
      </candidateList>
      <explain>文本全半角错误。</explain>
      <paraID>25733352</paraID>
      <start>157</start>
      <end>158</end>
      <status>modified</status>
      <modifiedWord>”</modifiedWord>
      <trackRevisions>false</trackRevisions>
    </reviewItem>
    <reviewItem>
      <errorID>e430c86e-a93f-483e-aada-732f6dedf50b</errorID>
      <errorWord>"四个最严"</errorWord>
      <group>L1_Political</group>
      <groupName>政治性问题</groupName>
      <ability>L2_Keyword</ability>
      <abilityName>固定表述</abilityName>
      <candidateList>
        <item>“四个最严”</item>
      </candidateList>
      <explain>注意检查当前固定表述标点是否使用规范。</explain>
      <paraID>    FBFB</paraID>
      <start>16</start>
      <end>22</end>
      <status>modified</status>
      <modifiedWord>“四个最严”</modifiedWord>
      <trackRevisions>false</trackRevisions>
    </reviewItem>
    <reviewItem>
      <errorID>7d8bd082-1017-453f-a68b-95db614d3530</errorID>
      <errorWord>"</errorWord>
      <group>L1_Format</group>
      <groupName>格式问题</groupName>
      <ability>L2_HalfPunc_CN</ability>
      <abilityName>全半角问题</abilityName>
      <candidateList>
        <item>“</item>
      </candidateList>
      <explain>文本全半角错误。</explain>
      <paraID>    FBFB</paraID>
      <start>27</start>
      <end>28</end>
      <status>modified</status>
      <modifiedWord>“</modifiedWord>
      <trackRevisions>false</trackRevisions>
    </reviewItem>
    <reviewItem>
      <errorID>30e49c39-57f1-4eb5-bad6-18ef29480bc1</errorID>
      <errorWord>"</errorWord>
      <group>L1_Format</group>
      <groupName>格式问题</groupName>
      <ability>L2_HalfPunc_CN</ability>
      <abilityName>全半角问题</abilityName>
      <candidateList>
        <item>”</item>
      </candidateList>
      <explain>文本全半角错误。</explain>
      <paraID>    FBFB</paraID>
      <start>42</start>
      <end>43</end>
      <status>modified</status>
      <modifiedWord>”</modifiedWord>
      <trackRevisions>false</trackRevisions>
    </reviewItem>
    <reviewItem>
      <errorID>cc7fe6f8-d5b7-411f-a5c2-b25b401432cc</errorID>
      <errorWord>"</errorWord>
      <group>L1_Format</group>
      <groupName>格式问题</groupName>
      <ability>L2_HalfPunc_CN</ability>
      <abilityName>全半角问题</abilityName>
      <candidateList>
        <item>“</item>
      </candidateList>
      <explain>文本全半角错误。</explain>
      <paraID>    FBFB</paraID>
      <start>173</start>
      <end>174</end>
      <status>modified</status>
      <modifiedWord>“</modifiedWord>
      <trackRevisions>false</trackRevisions>
    </reviewItem>
    <reviewItem>
      <errorID>7ada04f4-3ef9-4057-b6c0-001f226a4df4</errorID>
      <errorWord>"</errorWord>
      <group>L1_Format</group>
      <groupName>格式问题</groupName>
      <ability>L2_HalfPunc_CN</ability>
      <abilityName>全半角问题</abilityName>
      <candidateList>
        <item>”</item>
      </candidateList>
      <explain>文本全半角错误。</explain>
      <paraID>    FBFB</paraID>
      <start>183</start>
      <end>184</end>
      <status>modified</status>
      <modifiedWord>”</modifiedWord>
      <trackRevisions>false</trackRevisions>
    </reviewItem>
    <reviewItem>
      <errorID>03b1e3ce-c7f3-4c65-85be-704470a55048</errorID>
      <errorWord>"</errorWord>
      <group>L1_Format</group>
      <groupName>格式问题</groupName>
      <ability>L2_HalfPunc_CN</ability>
      <abilityName>全半角问题</abilityName>
      <candidateList>
        <item>“</item>
      </candidateList>
      <explain>文本全半角错误。</explain>
      <paraID>7A9F08E2</paraID>
      <start>14</start>
      <end>15</end>
      <status>modified</status>
      <modifiedWord>“</modifiedWord>
      <trackRevisions>false</trackRevisions>
    </reviewItem>
    <reviewItem>
      <errorID>cce1879b-6fbe-44ad-9f19-68b3bea333ad</errorID>
      <errorWord>"</errorWord>
      <group>L1_Format</group>
      <groupName>格式问题</groupName>
      <ability>L2_HalfPunc_CN</ability>
      <abilityName>全半角问题</abilityName>
      <candidateList>
        <item>”</item>
      </candidateList>
      <explain>文本全半角错误。</explain>
      <paraID>7A9F08E2</paraID>
      <start>24</start>
      <end>25</end>
      <status>modified</status>
      <modifiedWord>”</modifiedWord>
      <trackRevisions>false</trackRevisions>
    </reviewItem>
    <reviewItem>
      <errorID>6d29b6b9-f26b-4b42-af31-3b295eb2eaf7</errorID>
      <errorWord>"</errorWord>
      <group>L1_Format</group>
      <groupName>格式问题</groupName>
      <ability>L2_HalfPunc_CN</ability>
      <abilityName>全半角问题</abilityName>
      <candidateList>
        <item>“</item>
      </candidateList>
      <explain>文本全半角错误。</explain>
      <paraID>7A9F08E2</paraID>
      <start>169</start>
      <end>170</end>
      <status>modified</status>
      <modifiedWord>“</modifiedWord>
      <trackRevisions>false</trackRevisions>
    </reviewItem>
    <reviewItem>
      <errorID>44a094c3-718f-4f0d-ad0a-ff739396ac5d</errorID>
      <errorWord>"</errorWord>
      <group>L1_Format</group>
      <groupName>格式问题</groupName>
      <ability>L2_HalfPunc_CN</ability>
      <abilityName>全半角问题</abilityName>
      <candidateList>
        <item>”</item>
      </candidateList>
      <explain>文本全半角错误。</explain>
      <paraID>7A9F08E2</paraID>
      <start>178</start>
      <end>179</end>
      <status>modified</status>
      <modifiedWord>”</modifiedWord>
      <trackRevisions>false</trackRevisions>
    </reviewItem>
    <reviewItem>
      <errorID>561a244a-72f2-4906-8778-562630afa51f</errorID>
      <errorWord>"</errorWord>
      <group>L1_Format</group>
      <groupName>格式问题</groupName>
      <ability>L2_HalfPunc_CN</ability>
      <abilityName>全半角问题</abilityName>
      <candidateList>
        <item>“</item>
      </candidateList>
      <explain>文本全半角错误。</explain>
      <paraID>6BBF1271</paraID>
      <start>85</start>
      <end>86</end>
      <status>modified</status>
      <modifiedWord>“</modifiedWord>
      <trackRevisions>false</trackRevisions>
    </reviewItem>
    <reviewItem>
      <errorID>632935b0-7e08-4c9e-bc58-845b5e1ba1e9</errorID>
      <errorWord>"</errorWord>
      <group>L1_Format</group>
      <groupName>格式问题</groupName>
      <ability>L2_HalfPunc_CN</ability>
      <abilityName>全半角问题</abilityName>
      <candidateList>
        <item>”</item>
      </candidateList>
      <explain>文本全半角错误。</explain>
      <paraID>6BBF1271</paraID>
      <start>105</start>
      <end>106</end>
      <status>modified</status>
      <modifiedWord>”</modifiedWord>
      <trackRevisions>false</trackRevisions>
    </reviewItem>
    <reviewItem>
      <errorID>d2decfc1-ca31-4704-8080-c10b381beec3</errorID>
      <errorWord>"十五五"时期</errorWord>
      <group>L1_Political</group>
      <groupName>政治性问题</groupName>
      <ability>L2_Keyword</ability>
      <abilityName>固定表述</abilityName>
      <candidateList>
        <item>“十五五”时期</item>
      </candidateList>
      <explain>注意检查当前固定表述标点是否使用规范。</explain>
      <paraID>6BBF1271</paraID>
      <start>119</start>
      <end>126</end>
      <status>modified</status>
      <modifiedWord>“十五五”时期</modifiedWord>
      <trackRevisions>false</trackRevisions>
    </reviewItem>
    <reviewItem>
      <errorID>56997fc4-cd6c-41d1-8238-370d2832d483</errorID>
      <errorWord>深刻领悟"两个确立"的决定性意义</errorWord>
      <group>L1_Political</group>
      <groupName>政治性问题</groupName>
      <ability>L2_Keyword</ability>
      <abilityName>固定表述</abilityName>
      <candidateList>
        <item>深刻领悟“两个确立”的决定性意义</item>
      </candidateList>
      <explain>注意检查当前固定表述标点是否使用规范。</explain>
      <paraID>7360F7FE</paraID>
      <start>103</start>
      <end>119</end>
      <status>modified</status>
      <modifiedWord>深刻领悟“两个确立”的决定性意义</modifiedWord>
      <trackRevisions>false</trackRevisions>
    </reviewItem>
    <reviewItem>
      <errorID>71d37248-2424-4ac4-9e2a-904199551f51</errorID>
      <errorWord>增强"四个意识"、坚定"四个自信"、做到"两个维护"</errorWord>
      <group>L1_Political</group>
      <groupName>政治性问题</groupName>
      <ability>L2_Keyword</ability>
      <abilityName>固定表述</abilityName>
      <candidateList>
        <item>增强“四个意识”、坚定“四个自信”、做到“两个维护”</item>
      </candidateList>
      <explain>注意检查当前固定表述标点是否使用规范。</explain>
      <paraID>7360F7FE</paraID>
      <start>120</start>
      <end>146</end>
      <status>modified</status>
      <modifiedWord>增强“四个意识”、坚定“四个自信”、做到“两个维护”</modifiedWord>
      <trackRevisions>false</trackRevisions>
    </reviewItem>
    <reviewItem>
      <errorID>349591de-7e61-4fea-96b4-0080b8124f94</errorID>
      <errorWord>"</errorWord>
      <group>L1_Format</group>
      <groupName>格式问题</groupName>
      <ability>L2_HalfPunc_CN</ability>
      <abilityName>全半角问题</abilityName>
      <candidateList>
        <item>“</item>
      </candidateList>
      <explain>文本全半角错误。</explain>
      <paraID>4FF537F0</paraID>
      <start>11</start>
      <end>12</end>
      <status>modified</status>
      <modifiedWord>“</modifiedWord>
      <trackRevisions>false</trackRevisions>
    </reviewItem>
    <reviewItem>
      <errorID>676b4af5-6b49-4a7b-9b39-f84029ad8a27</errorID>
      <errorWord>"</errorWord>
      <group>L1_Format</group>
      <groupName>格式问题</groupName>
      <ability>L2_HalfPunc_CN</ability>
      <abilityName>全半角问题</abilityName>
      <candidateList>
        <item>”</item>
      </candidateList>
      <explain>文本全半角错误。</explain>
      <paraID>4FF537F0</paraID>
      <start>21</start>
      <end>22</end>
      <status>modified</status>
      <modifiedWord>”</modifiedWord>
      <trackRevisions>false</trackRevisions>
    </reviewItem>
    <reviewItem>
      <errorID>9e2dbc58-e8be-47ca-9038-9a9c26e21105</errorID>
      <errorWord>"</errorWord>
      <group>L1_Format</group>
      <groupName>格式问题</groupName>
      <ability>L2_HalfPunc_CN</ability>
      <abilityName>全半角问题</abilityName>
      <candidateList>
        <item>“</item>
      </candidateList>
      <explain>文本全半角错误。</explain>
      <paraID>4FF537F0</paraID>
      <start>120</start>
      <end>121</end>
      <status>modified</status>
      <modifiedWord>“</modifiedWord>
      <trackRevisions>false</trackRevisions>
    </reviewItem>
    <reviewItem>
      <errorID>79d0104e-6cfa-42d6-8a0c-1642ed1cb8ee</errorID>
      <errorWord>"</errorWord>
      <group>L1_Format</group>
      <groupName>格式问题</groupName>
      <ability>L2_HalfPunc_CN</ability>
      <abilityName>全半角问题</abilityName>
      <candidateList>
        <item>”</item>
      </candidateList>
      <explain>文本全半角错误。</explain>
      <paraID>4FF537F0</paraID>
      <start>141</start>
      <end>142</end>
      <status>modified</status>
      <modifiedWord>”</modifiedWord>
      <trackRevisions>false</trackRevisions>
    </reviewItem>
    <reviewItem>
      <errorID>6dd28918-291d-49cd-bf18-35bf0753491a</errorID>
      <errorWord>。。</errorWord>
      <group>L1_Punc</group>
      <groupName>标点问题</groupName>
      <ability>L2_Punc_CN</ability>
      <abilityName>标点符号问题</abilityName>
      <candidateList>
        <item>。</item>
      </candidateList>
      <explain/>
      <paraID> C4E56B4</paraID>
      <start>44</start>
      <end>45</end>
      <status>modified</status>
      <modifiedWord>。</modifiedWord>
      <trackRevisions>false</trackRevisions>
    </reviewItem>
    <reviewItem>
      <errorID>1a84a972-5614-4987-a12a-55bc10a56481</errorID>
      <errorWord>"</errorWord>
      <group>L1_Format</group>
      <groupName>格式问题</groupName>
      <ability>L2_HalfPunc_CN</ability>
      <abilityName>全半角问题</abilityName>
      <candidateList>
        <item>“</item>
      </candidateList>
      <explain>文本全半角错误。</explain>
      <paraID>6A3ED497</paraID>
      <start>45</start>
      <end>46</end>
      <status>modified</status>
      <modifiedWord>“</modifiedWord>
      <trackRevisions>false</trackRevisions>
    </reviewItem>
    <reviewItem>
      <errorID>a4eaeaaf-715a-4698-b97f-085b1756e181</errorID>
      <errorWord>"</errorWord>
      <group>L1_Format</group>
      <groupName>格式问题</groupName>
      <ability>L2_HalfPunc_CN</ability>
      <abilityName>全半角问题</abilityName>
      <candidateList>
        <item>”</item>
      </candidateList>
      <explain>文本全半角错误。</explain>
      <paraID>6A3ED497</paraID>
      <start>59</start>
      <end>60</end>
      <status>modified</status>
      <modifiedWord>”</modifiedWord>
      <trackRevisions>false</trackRevisions>
    </reviewItem>
    <reviewItem>
      <errorID>e17fca53-ccec-4048-8671-95a97c75ade8</errorID>
      <errorWord>"</errorWord>
      <group>L1_Format</group>
      <groupName>格式问题</groupName>
      <ability>L2_HalfPunc_CN</ability>
      <abilityName>全半角问题</abilityName>
      <candidateList>
        <item>“</item>
      </candidateList>
      <explain>文本全半角错误。</explain>
      <paraID>6A3ED497</paraID>
      <start>68</start>
      <end>69</end>
      <status>modified</status>
      <modifiedWord>“</modifiedWord>
      <trackRevisions>false</trackRevisions>
    </reviewItem>
    <reviewItem>
      <errorID>d426320b-2c46-4506-9eb3-f52937c42c83</errorID>
      <errorWord>"</errorWord>
      <group>L1_Format</group>
      <groupName>格式问题</groupName>
      <ability>L2_HalfPunc_CN</ability>
      <abilityName>全半角问题</abilityName>
      <candidateList>
        <item>”</item>
      </candidateList>
      <explain>文本全半角错误。</explain>
      <paraID>6A3ED497</paraID>
      <start>73</start>
      <end>74</end>
      <status>modified</status>
      <modifiedWord>”</modifiedWord>
      <trackRevisions>false</trackRevisions>
    </reviewItem>
    <reviewItem>
      <errorID>340dcbea-d571-46d7-a74a-0bc581729d96</errorID>
      <errorWord>"</errorWord>
      <group>L1_Format</group>
      <groupName>格式问题</groupName>
      <ability>L2_HalfPunc_CN</ability>
      <abilityName>全半角问题</abilityName>
      <candidateList>
        <item>“</item>
      </candidateList>
      <explain>文本全半角错误。</explain>
      <paraID>6A3ED497</paraID>
      <start>185</start>
      <end>186</end>
      <status>modified</status>
      <modifiedWord>“</modifiedWord>
      <trackRevisions>false</trackRevisions>
    </reviewItem>
    <reviewItem>
      <errorID>c6f09fff-2dd5-4ff7-99bd-a812b8707f54</errorID>
      <errorWord>"</errorWord>
      <group>L1_Format</group>
      <groupName>格式问题</groupName>
      <ability>L2_HalfPunc_CN</ability>
      <abilityName>全半角问题</abilityName>
      <candidateList>
        <item>”</item>
      </candidateList>
      <explain>文本全半角错误。</explain>
      <paraID>6A3ED497</paraID>
      <start>190</start>
      <end>191</end>
      <status>modified</status>
      <modifiedWord>”</modifiedWord>
      <trackRevisions>false</trackRevisions>
    </reviewItem>
    <reviewItem>
      <errorID>6f4b5fbe-9504-4ea6-b23e-4022d646df4a</errorID>
      <errorWord>"</errorWord>
      <group>L1_Format</group>
      <groupName>格式问题</groupName>
      <ability>L2_HalfPunc_CN</ability>
      <abilityName>全半角问题</abilityName>
      <candidateList>
        <item>“</item>
      </candidateList>
      <explain>文本全半角错误。</explain>
      <paraID>6A3ED497</paraID>
      <start>214</start>
      <end>215</end>
      <status>modified</status>
      <modifiedWord>“</modifiedWord>
      <trackRevisions>false</trackRevisions>
    </reviewItem>
    <reviewItem>
      <errorID>ef8db3a7-86cc-4a35-a16f-e3faf6747d33</errorID>
      <errorWord>"</errorWord>
      <group>L1_Format</group>
      <groupName>格式问题</groupName>
      <ability>L2_HalfPunc_CN</ability>
      <abilityName>全半角问题</abilityName>
      <candidateList>
        <item>”</item>
      </candidateList>
      <explain>文本全半角错误。</explain>
      <paraID>6A3ED497</paraID>
      <start>219</start>
      <end>220</end>
      <status>modified</status>
      <modifiedWord>”</modifiedWord>
      <trackRevisions>false</trackRevisions>
    </reviewItem>
    <reviewItem>
      <errorID>d1eb62ef-1ab3-4823-b2ff-8b054c6f1018</errorID>
      <errorWord>"</errorWord>
      <group>L1_Format</group>
      <groupName>格式问题</groupName>
      <ability>L2_HalfPunc_CN</ability>
      <abilityName>全半角问题</abilityName>
      <candidateList>
        <item>“</item>
      </candidateList>
      <explain>文本全半角错误。</explain>
      <paraID>6A3ED497</paraID>
      <start>227</start>
      <end>228</end>
      <status>modified</status>
      <modifiedWord>“</modifiedWord>
      <trackRevisions>false</trackRevisions>
    </reviewItem>
    <reviewItem>
      <errorID>d740c8cc-3c7f-48f5-9107-d12f50dc0dcf</errorID>
      <errorWord>"</errorWord>
      <group>L1_Format</group>
      <groupName>格式问题</groupName>
      <ability>L2_HalfPunc_CN</ability>
      <abilityName>全半角问题</abilityName>
      <candidateList>
        <item>”</item>
      </candidateList>
      <explain>文本全半角错误。</explain>
      <paraID>6A3ED497</paraID>
      <start>243</start>
      <end>244</end>
      <status>modified</status>
      <modifiedWord>”</modifiedWord>
      <trackRevisions>false</trackRevisions>
    </reviewItem>
    <reviewItem>
      <errorID>9a9da700-7e38-49e5-962b-5d03821ae51f</errorID>
      <errorWord>"十五五"规划</errorWord>
      <group>L1_Political</group>
      <groupName>政治性问题</groupName>
      <ability>L2_Keyword</ability>
      <abilityName>固定表述</abilityName>
      <candidateList>
        <item>“十五五”规划</item>
      </candidateList>
      <explain>注意检查当前固定表述标点是否使用规范。</explain>
      <paraID> 65BE32E</paraID>
      <start>11</start>
      <end>18</end>
      <status>modified</status>
      <modifiedWord>“十五五”规划</modifiedWord>
      <trackRevisions>false</trackRevisions>
    </reviewItem>
    <reviewItem>
      <errorID>2727187d-a4bb-4e1c-82d1-31465487ff13</errorID>
      <errorWord>"三个区分开来"</errorWord>
      <group>L1_Political</group>
      <groupName>政治性问题</groupName>
      <ability>L2_Keyword</ability>
      <abilityName>固定表述</abilityName>
      <candidateList>
        <item>“三个区分开来”</item>
      </candidateList>
      <explain>注意检查当前固定表述标点是否使用规范。</explain>
      <paraID>152AECD0</paraID>
      <start>147</start>
      <end>155</end>
      <status>modified</status>
      <modifiedWord>“三个区分开来”</modifiedWord>
      <trackRevisions>false</trackRevisions>
    </reviewItem>
    <reviewItem>
      <errorID>f05d184a-edfe-461e-b0fc-eb1ebe7b9bb4</errorID>
      <errorWord>）"两委"班子</errorWord>
      <group>L1_Word</group>
      <groupName>字词问题</groupName>
      <ability>L2_Typo</ability>
      <abilityName>字词错误</abilityName>
      <candidateList>
        <item>）“两委”班子</item>
      </candidateList>
      <explain/>
      <paraID>7869A9CB</paraID>
      <start>33</start>
      <end>40</end>
      <status>modified</status>
      <modifiedWord>）“两委”班子</modifiedWord>
      <trackRevisions>false</trackRevisions>
    </reviewItem>
    <reviewItem>
      <errorID>926ab339-2e22-4107-a139-05546970b770</errorID>
      <errorWord>"</errorWord>
      <group>L1_Format</group>
      <groupName>格式问题</groupName>
      <ability>L2_HalfPunc_CN</ability>
      <abilityName>全半角问题</abilityName>
      <candidateList>
        <item>“</item>
      </candidateList>
      <explain>文本全半角错误。</explain>
      <paraID>7869A9CB</paraID>
      <start>93</start>
      <end>94</end>
      <status>modified</status>
      <modifiedWord>“</modifiedWord>
      <trackRevisions>false</trackRevisions>
    </reviewItem>
    <reviewItem>
      <errorID>ab2203a1-a513-4c06-bfe4-fbaf35ed8ae8</errorID>
      <errorWord>"</errorWord>
      <group>L1_Format</group>
      <groupName>格式问题</groupName>
      <ability>L2_HalfPunc_CN</ability>
      <abilityName>全半角问题</abilityName>
      <candidateList>
        <item>”</item>
      </candidateList>
      <explain>文本全半角错误。</explain>
      <paraID>7869A9CB</paraID>
      <start>98</start>
      <end>99</end>
      <status>modified</status>
      <modifiedWord>”</modifiedWord>
      <trackRevisions>false</trackRevisions>
    </reviewItem>
    <reviewItem>
      <errorID>026803a5-0f63-42fe-a6ae-3421d26a837b</errorID>
      <errorWord>"</errorWord>
      <group>L1_Format</group>
      <groupName>格式问题</groupName>
      <ability>L2_HalfPunc_CN</ability>
      <abilityName>全半角问题</abilityName>
      <candidateList>
        <item>“</item>
      </candidateList>
      <explain>文本全半角错误。</explain>
      <paraID>7869A9CB</paraID>
      <start>99</start>
      <end>100</end>
      <status>modified</status>
      <modifiedWord>“</modifiedWord>
      <trackRevisions>false</trackRevisions>
    </reviewItem>
    <reviewItem>
      <errorID>b2e47fec-5f37-4a2f-9d7a-cd7829566860</errorID>
      <errorWord>"</errorWord>
      <group>L1_Format</group>
      <groupName>格式问题</groupName>
      <ability>L2_HalfPunc_CN</ability>
      <abilityName>全半角问题</abilityName>
      <candidateList>
        <item>”</item>
      </candidateList>
      <explain>文本全半角错误。</explain>
      <paraID>7869A9CB</paraID>
      <start>104</start>
      <end>105</end>
      <status>modified</status>
      <modifiedWord>”</modifiedWord>
      <trackRevisions>false</trackRevisions>
    </reviewItem>
    <reviewItem>
      <errorID>4229ddc2-db60-4f9d-85ac-44fe811f56ac</errorID>
      <errorWord>"</errorWord>
      <group>L1_Format</group>
      <groupName>格式问题</groupName>
      <ability>L2_HalfPunc_CN</ability>
      <abilityName>全半角问题</abilityName>
      <candidateList>
        <item>“</item>
      </candidateList>
      <explain>文本全半角错误。</explain>
      <paraID>7869A9CB</paraID>
      <start>105</start>
      <end>106</end>
      <status>modified</status>
      <modifiedWord>“</modifiedWord>
      <trackRevisions>false</trackRevisions>
    </reviewItem>
    <reviewItem>
      <errorID>cdc42b23-1690-4414-8530-ee4b03175627</errorID>
      <errorWord>"</errorWord>
      <group>L1_Format</group>
      <groupName>格式问题</groupName>
      <ability>L2_HalfPunc_CN</ability>
      <abilityName>全半角问题</abilityName>
      <candidateList>
        <item>”</item>
      </candidateList>
      <explain>文本全半角错误。</explain>
      <paraID>7869A9CB</paraID>
      <start>110</start>
      <end>111</end>
      <status>modified</status>
      <modifiedWord>”</modifiedWord>
      <trackRevisions>false</trackRevisions>
    </reviewItem>
    <reviewItem>
      <errorID>4aa400e1-bfb2-4a5e-bcd9-526fe573613e</errorID>
      <errorWord>"</errorWord>
      <group>L1_Format</group>
      <groupName>格式问题</groupName>
      <ability>L2_HalfPunc_CN</ability>
      <abilityName>全半角问题</abilityName>
      <candidateList>
        <item>“</item>
      </candidateList>
      <explain>文本全半角错误。</explain>
      <paraID>7869A9CB</paraID>
      <start>148</start>
      <end>149</end>
      <status>modified</status>
      <modifiedWord>“</modifiedWord>
      <trackRevisions>false</trackRevisions>
    </reviewItem>
    <reviewItem>
      <errorID>ad5fb46e-58a8-4786-acc9-d656eb2179e9</errorID>
      <errorWord>"</errorWord>
      <group>L1_Format</group>
      <groupName>格式问题</groupName>
      <ability>L2_HalfPunc_CN</ability>
      <abilityName>全半角问题</abilityName>
      <candidateList>
        <item>”</item>
      </candidateList>
      <explain>文本全半角错误。</explain>
      <paraID>7869A9CB</paraID>
      <start>155</start>
      <end>156</end>
      <status>modified</status>
      <modifiedWord>”</modifiedWord>
      <trackRevisions>false</trackRevisions>
    </reviewItem>
    <reviewItem>
      <errorID>92f0f3d6-da54-4ea6-ad01-c844910a0966</errorID>
      <errorWord>"</errorWord>
      <group>L1_Format</group>
      <groupName>格式问题</groupName>
      <ability>L2_HalfPunc_CN</ability>
      <abilityName>全半角问题</abilityName>
      <candidateList>
        <item>“</item>
      </candidateList>
      <explain>文本全半角错误。</explain>
      <paraID>7869A9CB</paraID>
      <start>182</start>
      <end>183</end>
      <status>modified</status>
      <modifiedWord>“</modifiedWord>
      <trackRevisions>false</trackRevisions>
    </reviewItem>
    <reviewItem>
      <errorID>2f34cb57-d539-4dbb-ac94-09e8ab3c78eb</errorID>
      <errorWord>"</errorWord>
      <group>L1_Format</group>
      <groupName>格式问题</groupName>
      <ability>L2_HalfPunc_CN</ability>
      <abilityName>全半角问题</abilityName>
      <candidateList>
        <item>”</item>
      </candidateList>
      <explain>文本全半角错误。</explain>
      <paraID>7869A9CB</paraID>
      <start>188</start>
      <end>189</end>
      <status>modified</status>
      <modifiedWord>”</modifiedWord>
      <trackRevisions>false</trackRevisions>
    </reviewItem>
    <reviewItem>
      <errorID>a44f1f03-cc31-408c-9c06-528ac4cf6ec1</errorID>
      <errorWord>"</errorWord>
      <group>L1_Format</group>
      <groupName>格式问题</groupName>
      <ability>L2_HalfPunc_CN</ability>
      <abilityName>全半角问题</abilityName>
      <candidateList>
        <item>“</item>
      </candidateList>
      <explain>文本全半角错误。</explain>
      <paraID>7869A9CB</paraID>
      <start>189</start>
      <end>190</end>
      <status>modified</status>
      <modifiedWord>“</modifiedWord>
      <trackRevisions>false</trackRevisions>
    </reviewItem>
    <reviewItem>
      <errorID>36edf7e2-8fd4-4fe0-8f28-18f526d69770</errorID>
      <errorWord>"</errorWord>
      <group>L1_Format</group>
      <groupName>格式问题</groupName>
      <ability>L2_HalfPunc_CN</ability>
      <abilityName>全半角问题</abilityName>
      <candidateList>
        <item>”</item>
      </candidateList>
      <explain>文本全半角错误。</explain>
      <paraID>7869A9CB</paraID>
      <start>196</start>
      <end>197</end>
      <status>modified</status>
      <modifiedWord>”</modifiedWord>
      <trackRevisions>false</trackRevisions>
    </reviewItem>
    <reviewItem>
      <errorID>7ecd01fd-0631-47fe-998e-c3ddbaaa49e6</errorID>
      <errorWord>育</errorWord>
      <group>L1_Word</group>
      <groupName>字词问题</groupName>
      <ability>L2_Typo</ability>
      <abilityName>字词错误</abilityName>
      <candidateList>
        <item>育和</item>
      </candidateList>
      <explain/>
      <paraID>7869A9CB</paraID>
      <start>218</start>
      <end>220</end>
      <status>modified</status>
      <modifiedWord>育和</modifiedWord>
      <trackRevisions>false</trackRevisions>
    </reviewItem>
    <reviewItem>
      <errorID>f3c32ef4-ddab-4a67-88d5-237ab9a64b5b</errorID>
      <errorWord>。。</errorWord>
      <group>L1_Punc</group>
      <groupName>标点问题</groupName>
      <ability>L2_Punc_CN</ability>
      <abilityName>标点符号问题</abilityName>
      <candidateList>
        <item>。</item>
      </candidateList>
      <explain/>
      <paraID>7869A9CB</paraID>
      <start>252</start>
      <end>253</end>
      <status>modified</status>
      <modifiedWord>。</modifiedWord>
      <trackRevisions>false</trackRevisions>
    </reviewItem>
    <reviewItem>
      <errorID>57eead6c-b814-480d-a719-3f601585bec0</errorID>
      <errorWord>"</errorWord>
      <group>L1_Format</group>
      <groupName>格式问题</groupName>
      <ability>L2_HalfPunc_CN</ability>
      <abilityName>全半角问题</abilityName>
      <candidateList>
        <item>“</item>
      </candidateList>
      <explain>文本全半角错误。</explain>
      <paraID>387C986B</paraID>
      <start>52</start>
      <end>53</end>
      <status>modified</status>
      <modifiedWord>“</modifiedWord>
      <trackRevisions>false</trackRevisions>
    </reviewItem>
    <reviewItem>
      <errorID>aeea3958-b97b-46a8-96ba-2578a050b10d</errorID>
      <errorWord>"</errorWord>
      <group>L1_Format</group>
      <groupName>格式问题</groupName>
      <ability>L2_HalfPunc_CN</ability>
      <abilityName>全半角问题</abilityName>
      <candidateList>
        <item>”</item>
      </candidateList>
      <explain>文本全半角错误。</explain>
      <paraID>387C986B</paraID>
      <start>57</start>
      <end>58</end>
      <status>modified</status>
      <modifiedWord>”</modifiedWord>
      <trackRevisions>false</trackRevisions>
    </reviewItem>
    <reviewItem>
      <errorID>e128f14e-1487-4d4b-be8c-64bccb50cdaf</errorID>
      <errorWord>"</errorWord>
      <group>L1_Format</group>
      <groupName>格式问题</groupName>
      <ability>L2_HalfPunc_CN</ability>
      <abilityName>全半角问题</abilityName>
      <candidateList>
        <item>“</item>
      </candidateList>
      <explain>文本全半角错误。</explain>
      <paraID>387C986B</paraID>
      <start>61</start>
      <end>62</end>
      <status>modified</status>
      <modifiedWord>“</modifiedWord>
      <trackRevisions>false</trackRevisions>
    </reviewItem>
    <reviewItem>
      <errorID>af21a7a5-4972-4507-93e5-e7f0b2283fbd</errorID>
      <errorWord>"</errorWord>
      <group>L1_Format</group>
      <groupName>格式问题</groupName>
      <ability>L2_HalfPunc_CN</ability>
      <abilityName>全半角问题</abilityName>
      <candidateList>
        <item>”</item>
      </candidateList>
      <explain>文本全半角错误。</explain>
      <paraID>387C986B</paraID>
      <start>64</start>
      <end>65</end>
      <status>modified</status>
      <modifiedWord>”</modifiedWord>
      <trackRevisions>false</trackRevisions>
    </reviewItem>
    <reviewItem>
      <errorID>2e51b548-ba0d-4585-a35d-d3e37b6bf156</errorID>
      <errorWord>"</errorWord>
      <group>L1_Format</group>
      <groupName>格式问题</groupName>
      <ability>L2_HalfPunc_CN</ability>
      <abilityName>全半角问题</abilityName>
      <candidateList>
        <item>“</item>
      </candidateList>
      <explain>文本全半角错误。</explain>
      <paraID>387C986B</paraID>
      <start>91</start>
      <end>92</end>
      <status>modified</status>
      <modifiedWord>“</modifiedWord>
      <trackRevisions>false</trackRevisions>
    </reviewItem>
    <reviewItem>
      <errorID>195b9fe7-732e-4f13-a4a3-88c976d8d534</errorID>
      <errorWord>"</errorWord>
      <group>L1_Format</group>
      <groupName>格式问题</groupName>
      <ability>L2_HalfPunc_CN</ability>
      <abilityName>全半角问题</abilityName>
      <candidateList>
        <item>”</item>
      </candidateList>
      <explain>文本全半角错误。</explain>
      <paraID>387C986B</paraID>
      <start>98</start>
      <end>99</end>
      <status>modified</status>
      <modifiedWord>”</modifiedWord>
      <trackRevisions>false</trackRevisions>
    </reviewItem>
    <reviewItem>
      <errorID>f925fa1f-20ce-4e16-9df8-a54602532657</errorID>
      <errorWord>"</errorWord>
      <group>L1_Format</group>
      <groupName>格式问题</groupName>
      <ability>L2_HalfPunc_CN</ability>
      <abilityName>全半角问题</abilityName>
      <candidateList>
        <item>“</item>
      </candidateList>
      <explain>文本全半角错误。</explain>
      <paraID>387C986B</paraID>
      <start>147</start>
      <end>148</end>
      <status>modified</status>
      <modifiedWord>“</modifiedWord>
      <trackRevisions>false</trackRevisions>
    </reviewItem>
    <reviewItem>
      <errorID>b4b53aac-9454-4cb8-b602-f1089ea53797</errorID>
      <errorWord>"</errorWord>
      <group>L1_Format</group>
      <groupName>格式问题</groupName>
      <ability>L2_HalfPunc_CN</ability>
      <abilityName>全半角问题</abilityName>
      <candidateList>
        <item>”</item>
      </candidateList>
      <explain>文本全半角错误。</explain>
      <paraID>387C986B</paraID>
      <start>150</start>
      <end>151</end>
      <status>modified</status>
      <modifiedWord>”</modifiedWord>
      <trackRevisions>false</trackRevisions>
    </reviewItem>
    <reviewItem>
      <errorID>9d36e08b-61ea-4595-9915-495eb2dd9f51</errorID>
      <errorWord>"</errorWord>
      <group>L1_Format</group>
      <groupName>格式问题</groupName>
      <ability>L2_HalfPunc_CN</ability>
      <abilityName>全半角问题</abilityName>
      <candidateList>
        <item>“</item>
      </candidateList>
      <explain>文本全半角错误。</explain>
      <paraID>387C986B</paraID>
      <start>214</start>
      <end>215</end>
      <status>modified</status>
      <modifiedWord>“</modifiedWord>
      <trackRevisions>false</trackRevisions>
    </reviewItem>
    <reviewItem>
      <errorID>eed0923e-5395-4114-8160-ee00b5375852</errorID>
      <errorWord>"</errorWord>
      <group>L1_Format</group>
      <groupName>格式问题</groupName>
      <ability>L2_HalfPunc_CN</ability>
      <abilityName>全半角问题</abilityName>
      <candidateList>
        <item>”</item>
      </candidateList>
      <explain>文本全半角错误。</explain>
      <paraID>387C986B</paraID>
      <start>224</start>
      <end>225</end>
      <status>modified</status>
      <modifiedWord>”</modifiedWord>
      <trackRevisions>false</trackRevisions>
    </reviewItem>
    <reviewItem>
      <errorID>bb8ad1c5-2830-4d39-8ef5-df5f4ba25e82</errorID>
      <errorWord>"</errorWord>
      <group>L1_Format</group>
      <groupName>格式问题</groupName>
      <ability>L2_HalfPunc_CN</ability>
      <abilityName>全半角问题</abilityName>
      <candidateList>
        <item>“</item>
      </candidateList>
      <explain>文本全半角错误。</explain>
      <paraID>387C986B</paraID>
      <start>245</start>
      <end>246</end>
      <status>modified</status>
      <modifiedWord>“</modifiedWord>
      <trackRevisions>false</trackRevisions>
    </reviewItem>
    <reviewItem>
      <errorID>4c862401-ebe0-44df-977d-acee96256781</errorID>
      <errorWord>"</errorWord>
      <group>L1_Format</group>
      <groupName>格式问题</groupName>
      <ability>L2_HalfPunc_CN</ability>
      <abilityName>全半角问题</abilityName>
      <candidateList>
        <item>”</item>
      </candidateList>
      <explain>文本全半角错误。</explain>
      <paraID>387C986B</paraID>
      <start>249</start>
      <end>250</end>
      <status>modified</status>
      <modifiedWord>”</modifiedWord>
      <trackRevisions>false</trackRevisions>
    </reviewItem>
    <reviewItem>
      <errorID>9d9a6ce2-fe8d-43bb-9486-4d317b410b61</errorID>
      <errorWord>"三会一课"</errorWord>
      <group>L1_Political</group>
      <groupName>政治性问题</groupName>
      <ability>L2_Keyword</ability>
      <abilityName>固定表述</abilityName>
      <candidateList>
        <item>“三会一课”</item>
      </candidateList>
      <explain>注意检查当前固定表述标点是否使用规范。</explain>
      <paraID>36B92290</paraID>
      <start>73</start>
      <end>79</end>
      <status>modified</status>
      <modifiedWord>“三会一课”</modifiedWord>
      <trackRevisions>false</trackRevisions>
    </reviewItem>
    <reviewItem>
      <errorID>e40486a3-3822-4e5d-9e50-23185eb7a03f</errorID>
      <errorWord>"</errorWord>
      <group>L1_Format</group>
      <groupName>格式问题</groupName>
      <ability>L2_HalfPunc_CN</ability>
      <abilityName>全半角问题</abilityName>
      <candidateList>
        <item>“</item>
      </candidateList>
      <explain>文本全半角错误。</explain>
      <paraID>36B92290</paraID>
      <start>112</start>
      <end>113</end>
      <status>modified</status>
      <modifiedWord>“</modifiedWord>
      <trackRevisions>false</trackRevisions>
    </reviewItem>
    <reviewItem>
      <errorID>87dcfe3e-99fc-4814-9955-36c7ffcff9cf</errorID>
      <errorWord>"</errorWord>
      <group>L1_Format</group>
      <groupName>格式问题</groupName>
      <ability>L2_HalfPunc_CN</ability>
      <abilityName>全半角问题</abilityName>
      <candidateList>
        <item>”</item>
      </candidateList>
      <explain>文本全半角错误。</explain>
      <paraID>36B92290</paraID>
      <start>118</start>
      <end>119</end>
      <status>modified</status>
      <modifiedWord>”</modifiedWord>
      <trackRevisions>false</trackRevisions>
    </reviewItem>
    <reviewItem>
      <errorID>cd56614b-bfad-475f-bf29-5eff5745636f</errorID>
      <errorWord>"</errorWord>
      <group>L1_Format</group>
      <groupName>格式问题</groupName>
      <ability>L2_HalfPunc_CN</ability>
      <abilityName>全半角问题</abilityName>
      <candidateList>
        <item>“</item>
      </candidateList>
      <explain>文本全半角错误。</explain>
      <paraID>36B92290</paraID>
      <start>119</start>
      <end>120</end>
      <status>modified</status>
      <modifiedWord>“</modifiedWord>
      <trackRevisions>false</trackRevisions>
    </reviewItem>
    <reviewItem>
      <errorID>c16d8c07-d85c-48ef-82cd-3525388044fe</errorID>
      <errorWord>"</errorWord>
      <group>L1_Format</group>
      <groupName>格式问题</groupName>
      <ability>L2_HalfPunc_CN</ability>
      <abilityName>全半角问题</abilityName>
      <candidateList>
        <item>”</item>
      </candidateList>
      <explain>文本全半角错误。</explain>
      <paraID>36B92290</paraID>
      <start>125</start>
      <end>126</end>
      <status>modified</status>
      <modifiedWord>”</modifiedWord>
      <trackRevisions>false</trackRevisions>
    </reviewItem>
    <reviewItem>
      <errorID>4bd828e4-9ccc-4ade-b704-594c14b9b1f8</errorID>
      <errorWord>"</errorWord>
      <group>L1_Format</group>
      <groupName>格式问题</groupName>
      <ability>L2_HalfPunc_CN</ability>
      <abilityName>全半角问题</abilityName>
      <candidateList>
        <item>“</item>
      </candidateList>
      <explain>文本全半角错误。</explain>
      <paraID>36B92290</paraID>
      <start>126</start>
      <end>127</end>
      <status>modified</status>
      <modifiedWord>“</modifiedWord>
      <trackRevisions>false</trackRevisions>
    </reviewItem>
    <reviewItem>
      <errorID>1c647bde-ac6b-4ba2-9cc6-7eaf4f5aacab</errorID>
      <errorWord>"</errorWord>
      <group>L1_Format</group>
      <groupName>格式问题</groupName>
      <ability>L2_HalfPunc_CN</ability>
      <abilityName>全半角问题</abilityName>
      <candidateList>
        <item>”</item>
      </candidateList>
      <explain>文本全半角错误。</explain>
      <paraID>36B92290</paraID>
      <start>132</start>
      <end>133</end>
      <status>modified</status>
      <modifiedWord>”</modifiedWord>
      <trackRevisions>false</trackRevisions>
    </reviewItem>
    <reviewItem>
      <errorID>445fd663-ab12-471a-bdc7-e862d5bf9f96</errorID>
      <errorWord>"</errorWord>
      <group>L1_Format</group>
      <groupName>格式问题</groupName>
      <ability>L2_HalfPunc_CN</ability>
      <abilityName>全半角问题</abilityName>
      <candidateList>
        <item>“</item>
      </candidateList>
      <explain>文本全半角错误。</explain>
      <paraID>5667EC4B</paraID>
      <start>47</start>
      <end>48</end>
      <status>modified</status>
      <modifiedWord>“</modifiedWord>
      <trackRevisions>false</trackRevisions>
    </reviewItem>
    <reviewItem>
      <errorID>7af72cb8-3a2e-46f0-8076-6cc73b8f1f3f</errorID>
      <errorWord>"</errorWord>
      <group>L1_Format</group>
      <groupName>格式问题</groupName>
      <ability>L2_HalfPunc_CN</ability>
      <abilityName>全半角问题</abilityName>
      <candidateList>
        <item>”</item>
      </candidateList>
      <explain>文本全半角错误。</explain>
      <paraID>5667EC4B</paraID>
      <start>55</start>
      <end>56</end>
      <status>modified</status>
      <modifiedWord>”</modifiedWord>
      <trackRevisions>false</trackRevisions>
    </reviewItem>
    <reviewItem>
      <errorID>4c7a27c4-9c5b-43ad-b504-0450524f31dd</errorID>
      <errorWord>"</errorWord>
      <group>L1_Format</group>
      <groupName>格式问题</groupName>
      <ability>L2_HalfPunc_CN</ability>
      <abilityName>全半角问题</abilityName>
      <candidateList>
        <item>“</item>
      </candidateList>
      <explain>文本全半角错误。</explain>
      <paraID>5667EC4B</paraID>
      <start>89</start>
      <end>90</end>
      <status>modified</status>
      <modifiedWord>“</modifiedWord>
      <trackRevisions>false</trackRevisions>
    </reviewItem>
    <reviewItem>
      <errorID>c7d28a00-a92d-49e2-a5f6-ea866f210b26</errorID>
      <errorWord>"</errorWord>
      <group>L1_Format</group>
      <groupName>格式问题</groupName>
      <ability>L2_HalfPunc_CN</ability>
      <abilityName>全半角问题</abilityName>
      <candidateList>
        <item>”</item>
      </candidateList>
      <explain>文本全半角错误。</explain>
      <paraID>5667EC4B</paraID>
      <start>97</start>
      <end>98</end>
      <status>modified</status>
      <modifiedWord>”</modifiedWord>
      <trackRevisions>false</trackRevisions>
    </reviewItem>
    <reviewItem>
      <errorID>34dcd830-9fd2-455e-8a3d-5340072ee3ea</errorID>
      <errorWord>"</errorWord>
      <group>L1_Format</group>
      <groupName>格式问题</groupName>
      <ability>L2_HalfPunc_CN</ability>
      <abilityName>全半角问题</abilityName>
      <candidateList>
        <item>“</item>
      </candidateList>
      <explain>文本全半角错误。</explain>
      <paraID>5667EC4B</paraID>
      <start>109</start>
      <end>110</end>
      <status>modified</status>
      <modifiedWord>“</modifiedWord>
      <trackRevisions>false</trackRevisions>
    </reviewItem>
    <reviewItem>
      <errorID>238d6022-12cb-4d75-a5a5-6a9f13c6dbc1</errorID>
      <errorWord>"</errorWord>
      <group>L1_Format</group>
      <groupName>格式问题</groupName>
      <ability>L2_HalfPunc_CN</ability>
      <abilityName>全半角问题</abilityName>
      <candidateList>
        <item>”</item>
      </candidateList>
      <explain>文本全半角错误。</explain>
      <paraID>5667EC4B</paraID>
      <start>114</start>
      <end>115</end>
      <status>modified</status>
      <modifiedWord>”</modifiedWord>
      <trackRevisions>false</trackRevisions>
    </reviewItem>
    <reviewItem>
      <errorID>4511411d-0529-45de-a59f-f4dbaa211a15</errorID>
      <errorWord>"</errorWord>
      <group>L1_Format</group>
      <groupName>格式问题</groupName>
      <ability>L2_HalfPunc_CN</ability>
      <abilityName>全半角问题</abilityName>
      <candidateList>
        <item>“</item>
      </candidateList>
      <explain>文本全半角错误。</explain>
      <paraID>5667EC4B</paraID>
      <start>115</start>
      <end>116</end>
      <status>modified</status>
      <modifiedWord>“</modifiedWord>
      <trackRevisions>false</trackRevisions>
    </reviewItem>
    <reviewItem>
      <errorID>bdec30a2-b3a6-4ee1-b338-4966d3259aec</errorID>
      <errorWord>"</errorWord>
      <group>L1_Format</group>
      <groupName>格式问题</groupName>
      <ability>L2_HalfPunc_CN</ability>
      <abilityName>全半角问题</abilityName>
      <candidateList>
        <item>”</item>
      </candidateList>
      <explain>文本全半角错误。</explain>
      <paraID>5667EC4B</paraID>
      <start>120</start>
      <end>121</end>
      <status>modified</status>
      <modifiedWord>”</modifiedWord>
      <trackRevisions>false</trackRevisions>
    </reviewItem>
    <reviewItem>
      <errorID>a9778ff1-dabd-415c-bc85-e551284b21a6</errorID>
      <errorWord>"</errorWord>
      <group>L1_Format</group>
      <groupName>格式问题</groupName>
      <ability>L2_HalfPunc_CN</ability>
      <abilityName>全半角问题</abilityName>
      <candidateList>
        <item>“</item>
      </candidateList>
      <explain>文本全半角错误。</explain>
      <paraID>5667EC4B</paraID>
      <start>121</start>
      <end>122</end>
      <status>modified</status>
      <modifiedWord>“</modifiedWord>
      <trackRevisions>false</trackRevisions>
    </reviewItem>
    <reviewItem>
      <errorID>fb81cb6a-9518-4f3e-ad1e-eff9c221a24e</errorID>
      <errorWord>"</errorWord>
      <group>L1_Format</group>
      <groupName>格式问题</groupName>
      <ability>L2_HalfPunc_CN</ability>
      <abilityName>全半角问题</abilityName>
      <candidateList>
        <item>”</item>
      </candidateList>
      <explain>文本全半角错误。</explain>
      <paraID>5667EC4B</paraID>
      <start>126</start>
      <end>127</end>
      <status>modified</status>
      <modifiedWord>”</modifiedWord>
      <trackRevisions>false</trackRevisions>
    </reviewItem>
    <reviewItem>
      <errorID>e49afd13-7e85-4d5f-9728-9b1c513d54c1</errorID>
      <errorWord>"</errorWord>
      <group>L1_Format</group>
      <groupName>格式问题</groupName>
      <ability>L2_HalfPunc_CN</ability>
      <abilityName>全半角问题</abilityName>
      <candidateList>
        <item>“</item>
      </candidateList>
      <explain>文本全半角错误。</explain>
      <paraID>5667EC4B</paraID>
      <start>133</start>
      <end>134</end>
      <status>modified</status>
      <modifiedWord>“</modifiedWord>
      <trackRevisions>false</trackRevisions>
    </reviewItem>
    <reviewItem>
      <errorID>8b685636-48d3-4d5f-96f0-5787d291f748</errorID>
      <errorWord>"</errorWord>
      <group>L1_Format</group>
      <groupName>格式问题</groupName>
      <ability>L2_HalfPunc_CN</ability>
      <abilityName>全半角问题</abilityName>
      <candidateList>
        <item>”</item>
      </candidateList>
      <explain>文本全半角错误。</explain>
      <paraID>5667EC4B</paraID>
      <start>148</start>
      <end>149</end>
      <status>modified</status>
      <modifiedWord>”</modifiedWord>
      <trackRevisions>false</trackRevisions>
    </reviewItem>
    <reviewItem>
      <errorID>10f06742-b31d-4cb5-8673-c9e9edb055b4</errorID>
      <errorWord>"</errorWord>
      <group>L1_Format</group>
      <groupName>格式问题</groupName>
      <ability>L2_HalfPunc_CN</ability>
      <abilityName>全半角问题</abilityName>
      <candidateList>
        <item>“</item>
      </candidateList>
      <explain>文本全半角错误。</explain>
      <paraID>5667EC4B</paraID>
      <start>152</start>
      <end>153</end>
      <status>modified</status>
      <modifiedWord>“</modifiedWord>
      <trackRevisions>false</trackRevisions>
    </reviewItem>
    <reviewItem>
      <errorID>ec6d56d5-4789-4c68-8973-c63bbd61b7eb</errorID>
      <errorWord>"</errorWord>
      <group>L1_Format</group>
      <groupName>格式问题</groupName>
      <ability>L2_HalfPunc_CN</ability>
      <abilityName>全半角问题</abilityName>
      <candidateList>
        <item>”</item>
      </candidateList>
      <explain>文本全半角错误。</explain>
      <paraID>5667EC4B</paraID>
      <start>160</start>
      <end>161</end>
      <status>modified</status>
      <modifiedWord>”</modifiedWord>
      <trackRevisions>false</trackRevisions>
    </reviewItem>
    <reviewItem>
      <errorID>88995714-d53e-436c-a3ce-792e5ccbd269</errorID>
      <errorWord>"</errorWord>
      <group>L1_Format</group>
      <groupName>格式问题</groupName>
      <ability>L2_HalfPunc_CN</ability>
      <abilityName>全半角问题</abilityName>
      <candidateList>
        <item>“</item>
      </candidateList>
      <explain>文本全半角错误。</explain>
      <paraID>5667EC4B</paraID>
      <start>198</start>
      <end>199</end>
      <status>modified</status>
      <modifiedWord>“</modifiedWord>
      <trackRevisions>false</trackRevisions>
    </reviewItem>
    <reviewItem>
      <errorID>f0c1ccdc-4285-48da-a59c-d4c22abe9390</errorID>
      <errorWord>"</errorWord>
      <group>L1_Format</group>
      <groupName>格式问题</groupName>
      <ability>L2_HalfPunc_CN</ability>
      <abilityName>全半角问题</abilityName>
      <candidateList>
        <item>”</item>
      </candidateList>
      <explain>文本全半角错误。</explain>
      <paraID>5667EC4B</paraID>
      <start>206</start>
      <end>207</end>
      <status>modified</status>
      <modifiedWord>”</modifiedWord>
      <trackRevisions>false</trackRevisions>
    </reviewItem>
    <reviewItem>
      <errorID>2997fd08-e42a-499e-8d27-c02d1a880fe6</errorID>
      <errorWord>"</errorWord>
      <group>L1_Format</group>
      <groupName>格式问题</groupName>
      <ability>L2_HalfPunc_CN</ability>
      <abilityName>全半角问题</abilityName>
      <candidateList>
        <item>“</item>
      </candidateList>
      <explain>文本全半角错误。</explain>
      <paraID>5667EC4B</paraID>
      <start>214</start>
      <end>215</end>
      <status>modified</status>
      <modifiedWord>“</modifiedWord>
      <trackRevisions>false</trackRevisions>
    </reviewItem>
    <reviewItem>
      <errorID>e24ae59a-f8f9-4ec2-a720-765380893cc1</errorID>
      <errorWord>"</errorWord>
      <group>L1_Format</group>
      <groupName>格式问题</groupName>
      <ability>L2_HalfPunc_CN</ability>
      <abilityName>全半角问题</abilityName>
      <candidateList>
        <item>”</item>
      </candidateList>
      <explain>文本全半角错误。</explain>
      <paraID>5667EC4B</paraID>
      <start>219</start>
      <end>220</end>
      <status>modified</status>
      <modifiedWord>”</modifiedWord>
      <trackRevisions>false</trackRevisions>
    </reviewItem>
    <reviewItem>
      <errorID>41410702-618f-4c5a-a2b8-0546525ea236</errorID>
      <errorWord>"</errorWord>
      <group>L1_Format</group>
      <groupName>格式问题</groupName>
      <ability>L2_HalfPunc_CN</ability>
      <abilityName>全半角问题</abilityName>
      <candidateList>
        <item>“</item>
      </candidateList>
      <explain>文本全半角错误。</explain>
      <paraID>5667EC4B</paraID>
      <start>220</start>
      <end>221</end>
      <status>modified</status>
      <modifiedWord>“</modifiedWord>
      <trackRevisions>false</trackRevisions>
    </reviewItem>
    <reviewItem>
      <errorID>186185aa-7044-4569-911e-bfabba5f3ff6</errorID>
      <errorWord>"</errorWord>
      <group>L1_Format</group>
      <groupName>格式问题</groupName>
      <ability>L2_HalfPunc_CN</ability>
      <abilityName>全半角问题</abilityName>
      <candidateList>
        <item>”</item>
      </candidateList>
      <explain>文本全半角错误。</explain>
      <paraID>5667EC4B</paraID>
      <start>225</start>
      <end>226</end>
      <status>modified</status>
      <modifiedWord>”</modifiedWord>
      <trackRevisions>false</trackRevisions>
    </reviewItem>
    <reviewItem>
      <errorID>19d77cf9-be4a-4ca8-a8bf-330232d444a8</errorID>
      <errorWord>"</errorWord>
      <group>L1_Format</group>
      <groupName>格式问题</groupName>
      <ability>L2_HalfPunc_CN</ability>
      <abilityName>全半角问题</abilityName>
      <candidateList>
        <item>“</item>
      </candidateList>
      <explain>文本全半角错误。</explain>
      <paraID>5667EC4B</paraID>
      <start>235</start>
      <end>236</end>
      <status>modified</status>
      <modifiedWord>“</modifiedWord>
      <trackRevisions>false</trackRevisions>
    </reviewItem>
    <reviewItem>
      <errorID>99540b96-15a6-4434-926b-bc1ca72d6c2b</errorID>
      <errorWord>"</errorWord>
      <group>L1_Format</group>
      <groupName>格式问题</groupName>
      <ability>L2_HalfPunc_CN</ability>
      <abilityName>全半角问题</abilityName>
      <candidateList>
        <item>”</item>
      </candidateList>
      <explain>文本全半角错误。</explain>
      <paraID>5667EC4B</paraID>
      <start>239</start>
      <end>240</end>
      <status>modified</status>
      <modifiedWord>”</modifiedWord>
      <trackRevisions>false</trackRevisions>
    </reviewItem>
    <reviewItem>
      <errorID>bf5de09f-92a6-4037-adee-5bd397884431</errorID>
      <errorWord>"</errorWord>
      <group>L1_Format</group>
      <groupName>格式问题</groupName>
      <ability>L2_HalfPunc_CN</ability>
      <abilityName>全半角问题</abilityName>
      <candidateList>
        <item>“</item>
      </candidateList>
      <explain>文本全半角错误。</explain>
      <paraID>5667EC4B</paraID>
      <start>242</start>
      <end>243</end>
      <status>modified</status>
      <modifiedWord>“</modifiedWord>
      <trackRevisions>false</trackRevisions>
    </reviewItem>
    <reviewItem>
      <errorID>86bda036-3a10-4727-9660-e72b2bfa4ebb</errorID>
      <errorWord>"</errorWord>
      <group>L1_Format</group>
      <groupName>格式问题</groupName>
      <ability>L2_HalfPunc_CN</ability>
      <abilityName>全半角问题</abilityName>
      <candidateList>
        <item>”</item>
      </candidateList>
      <explain>文本全半角错误。</explain>
      <paraID>5667EC4B</paraID>
      <start>246</start>
      <end>247</end>
      <status>modified</status>
      <modifiedWord>”</modifiedWord>
      <trackRevisions>false</trackRevisions>
    </reviewItem>
    <reviewItem>
      <errorID>07c75932-5a06-47db-93bc-fd78ce52a1e8</errorID>
      <errorWord>"</errorWord>
      <group>L1_Format</group>
      <groupName>格式问题</groupName>
      <ability>L2_HalfPunc_CN</ability>
      <abilityName>全半角问题</abilityName>
      <candidateList>
        <item>“</item>
      </candidateList>
      <explain>文本全半角错误。</explain>
      <paraID>19CDA5E8</paraID>
      <start>53</start>
      <end>54</end>
      <status>modified</status>
      <modifiedWord>“</modifiedWord>
      <trackRevisions>false</trackRevisions>
    </reviewItem>
    <reviewItem>
      <errorID>ce4b6f05-7ca3-47f1-8d0b-ffe849cfb1af</errorID>
      <errorWord>"</errorWord>
      <group>L1_Format</group>
      <groupName>格式问题</groupName>
      <ability>L2_HalfPunc_CN</ability>
      <abilityName>全半角问题</abilityName>
      <candidateList>
        <item>”</item>
      </candidateList>
      <explain>文本全半角错误。</explain>
      <paraID>19CDA5E8</paraID>
      <start>59</start>
      <end>60</end>
      <status>modified</status>
      <modifiedWord>”</modifiedWord>
      <trackRevisions>false</trackRevisions>
    </reviewItem>
    <reviewItem>
      <errorID>a2e8e541-02c4-495d-93b3-9e544d1061e6</errorID>
      <errorWord>"</errorWord>
      <group>L1_Format</group>
      <groupName>格式问题</groupName>
      <ability>L2_HalfPunc_CN</ability>
      <abilityName>全半角问题</abilityName>
      <candidateList>
        <item>“</item>
      </candidateList>
      <explain>文本全半角错误。</explain>
      <paraID>19CDA5E8</paraID>
      <start>68</start>
      <end>69</end>
      <status>modified</status>
      <modifiedWord>“</modifiedWord>
      <trackRevisions>false</trackRevisions>
    </reviewItem>
    <reviewItem>
      <errorID>6d03ae36-ebf2-4988-b760-e00f0f434973</errorID>
      <errorWord>"</errorWord>
      <group>L1_Format</group>
      <groupName>格式问题</groupName>
      <ability>L2_HalfPunc_CN</ability>
      <abilityName>全半角问题</abilityName>
      <candidateList>
        <item>”</item>
      </candidateList>
      <explain>文本全半角错误。</explain>
      <paraID>19CDA5E8</paraID>
      <start>74</start>
      <end>75</end>
      <status>modified</status>
      <modifiedWord>”</modifiedWord>
      <trackRevisions>false</trackRevisions>
    </reviewItem>
    <reviewItem>
      <errorID>7146e3e0-0ff6-43cb-a2a6-67bfcc6e0e33</errorID>
      <errorWord>"</errorWord>
      <group>L1_Format</group>
      <groupName>格式问题</groupName>
      <ability>L2_HalfPunc_CN</ability>
      <abilityName>全半角问题</abilityName>
      <candidateList>
        <item>“</item>
      </candidateList>
      <explain>文本全半角错误。</explain>
      <paraID>19CDA5E8</paraID>
      <start>104</start>
      <end>105</end>
      <status>modified</status>
      <modifiedWord>“</modifiedWord>
      <trackRevisions>false</trackRevisions>
    </reviewItem>
    <reviewItem>
      <errorID>19f25f9c-b50d-4b0e-821c-a3dbf6677ef0</errorID>
      <errorWord>"</errorWord>
      <group>L1_Format</group>
      <groupName>格式问题</groupName>
      <ability>L2_HalfPunc_CN</ability>
      <abilityName>全半角问题</abilityName>
      <candidateList>
        <item>”</item>
      </candidateList>
      <explain>文本全半角错误。</explain>
      <paraID>19CDA5E8</paraID>
      <start>110</start>
      <end>111</end>
      <status>modified</status>
      <modifiedWord>”</modifiedWord>
      <trackRevisions>false</trackRevisions>
    </reviewItem>
    <reviewItem>
      <errorID>bf8c833b-9985-4c22-91ba-dee875e995c7</errorID>
      <errorWord>"</errorWord>
      <group>L1_Format</group>
      <groupName>格式问题</groupName>
      <ability>L2_HalfPunc_CN</ability>
      <abilityName>全半角问题</abilityName>
      <candidateList>
        <item>“</item>
      </candidateList>
      <explain>文本全半角错误。</explain>
      <paraID>19CDA5E8</paraID>
      <start>111</start>
      <end>112</end>
      <status>modified</status>
      <modifiedWord>“</modifiedWord>
      <trackRevisions>false</trackRevisions>
    </reviewItem>
    <reviewItem>
      <errorID>19a06af3-603e-465f-9554-ea23da220b2b</errorID>
      <errorWord>"</errorWord>
      <group>L1_Format</group>
      <groupName>格式问题</groupName>
      <ability>L2_HalfPunc_CN</ability>
      <abilityName>全半角问题</abilityName>
      <candidateList>
        <item>”</item>
      </candidateList>
      <explain>文本全半角错误。</explain>
      <paraID>19CDA5E8</paraID>
      <start>117</start>
      <end>118</end>
      <status>modified</status>
      <modifiedWord>”</modifiedWord>
      <trackRevisions>false</trackRevisions>
    </reviewItem>
    <reviewItem>
      <errorID>cda28029-e8ea-44cc-99dc-c7102961aafd</errorID>
      <errorWord>"</errorWord>
      <group>L1_Format</group>
      <groupName>格式问题</groupName>
      <ability>L2_HalfPunc_CN</ability>
      <abilityName>全半角问题</abilityName>
      <candidateList>
        <item>“</item>
      </candidateList>
      <explain>文本全半角错误。</explain>
      <paraID>19CDA5E8</paraID>
      <start>125</start>
      <end>126</end>
      <status>modified</status>
      <modifiedWord>“</modifiedWord>
      <trackRevisions>false</trackRevisions>
    </reviewItem>
    <reviewItem>
      <errorID>15b383a1-3273-47d9-95c5-fe8368eca75e</errorID>
      <errorWord>"</errorWord>
      <group>L1_Format</group>
      <groupName>格式问题</groupName>
      <ability>L2_HalfPunc_CN</ability>
      <abilityName>全半角问题</abilityName>
      <candidateList>
        <item>”</item>
      </candidateList>
      <explain>文本全半角错误。</explain>
      <paraID>19CDA5E8</paraID>
      <start>130</start>
      <end>131</end>
      <status>modified</status>
      <modifiedWord>”</modifiedWord>
      <trackRevisions>false</trackRevisions>
    </reviewItem>
    <reviewItem>
      <errorID>ba479795-8275-4c1c-afd3-db06d039a08a</errorID>
      <errorWord>"</errorWord>
      <group>L1_Format</group>
      <groupName>格式问题</groupName>
      <ability>L2_HalfPunc_CN</ability>
      <abilityName>全半角问题</abilityName>
      <candidateList>
        <item>“</item>
      </candidateList>
      <explain>文本全半角错误。</explain>
      <paraID>19CDA5E8</paraID>
      <start>132</start>
      <end>133</end>
      <status>modified</status>
      <modifiedWord>“</modifiedWord>
      <trackRevisions>false</trackRevisions>
    </reviewItem>
    <reviewItem>
      <errorID>65a52b9e-76d2-4bcc-9d05-5828eb06b53f</errorID>
      <errorWord>"</errorWord>
      <group>L1_Format</group>
      <groupName>格式问题</groupName>
      <ability>L2_HalfPunc_CN</ability>
      <abilityName>全半角问题</abilityName>
      <candidateList>
        <item>”</item>
      </candidateList>
      <explain>文本全半角错误。</explain>
      <paraID>19CDA5E8</paraID>
      <start>136</start>
      <end>137</end>
      <status>modified</status>
      <modifiedWord>”</modifiedWord>
      <trackRevisions>false</trackRevisions>
    </reviewItem>
    <reviewItem>
      <errorID>330bd33f-08c1-4240-83e2-8e534ea11fb2</errorID>
      <errorWord>"</errorWord>
      <group>L1_Format</group>
      <groupName>格式问题</groupName>
      <ability>L2_HalfPunc_CN</ability>
      <abilityName>全半角问题</abilityName>
      <candidateList>
        <item>“</item>
      </candidateList>
      <explain>文本全半角错误。</explain>
      <paraID>19CDA5E8</paraID>
      <start>144</start>
      <end>145</end>
      <status>modified</status>
      <modifiedWord>“</modifiedWord>
      <trackRevisions>false</trackRevisions>
    </reviewItem>
    <reviewItem>
      <errorID>484d8b2b-688b-48a9-8e6a-5fd1dd4aa2cf</errorID>
      <errorWord>"</errorWord>
      <group>L1_Format</group>
      <groupName>格式问题</groupName>
      <ability>L2_HalfPunc_CN</ability>
      <abilityName>全半角问题</abilityName>
      <candidateList>
        <item>”</item>
      </candidateList>
      <explain>文本全半角错误。</explain>
      <paraID>19CDA5E8</paraID>
      <start>162</start>
      <end>163</end>
      <status>modified</status>
      <modifiedWord>”</modifiedWord>
      <trackRevisions>false</trackRevisions>
    </reviewItem>
    <reviewItem>
      <errorID>d0d46cee-8656-4775-b181-972d7e2d4d25</errorID>
      <errorWord>"</errorWord>
      <group>L1_Format</group>
      <groupName>格式问题</groupName>
      <ability>L2_HalfPunc_CN</ability>
      <abilityName>全半角问题</abilityName>
      <candidateList>
        <item>“</item>
      </candidateList>
      <explain>文本全半角错误。</explain>
      <paraID>19CDA5E8</paraID>
      <start>176</start>
      <end>177</end>
      <status>modified</status>
      <modifiedWord>“</modifiedWord>
      <trackRevisions>false</trackRevisions>
    </reviewItem>
    <reviewItem>
      <errorID>2f47b678-7f9b-40c7-b16b-7c8452602ec9</errorID>
      <errorWord>"</errorWord>
      <group>L1_Format</group>
      <groupName>格式问题</groupName>
      <ability>L2_HalfPunc_CN</ability>
      <abilityName>全半角问题</abilityName>
      <candidateList>
        <item>”</item>
      </candidateList>
      <explain>文本全半角错误。</explain>
      <paraID>19CDA5E8</paraID>
      <start>188</start>
      <end>189</end>
      <status>modified</status>
      <modifiedWord>”</modifiedWord>
      <trackRevisions>false</trackRevisions>
    </reviewItem>
    <reviewItem>
      <errorID>b50369b1-2672-4b43-920a-b1bc6a9a379e</errorID>
      <errorWord>运用"四种形态"</errorWord>
      <group>L1_Political</group>
      <groupName>政治性问题</groupName>
      <ability>L2_Keyword</ability>
      <abilityName>固定表述</abilityName>
      <candidateList>
        <item>运用“四种形态”</item>
      </candidateList>
      <explain>注意检查当前固定表述标点是否使用规范。</explain>
      <paraID> E1E24B0</paraID>
      <start>96</start>
      <end>104</end>
      <status>modified</status>
      <modifiedWord>运用“四种形态”</modifiedWord>
      <trackRevisions>false</trackRevisions>
    </reviewItem>
    <reviewItem>
      <errorID>a3e21080-f115-458f-86a3-8debfc4a5096</errorID>
      <errorWord>"</errorWord>
      <group>L1_Format</group>
      <groupName>格式问题</groupName>
      <ability>L2_HalfPunc_CN</ability>
      <abilityName>全半角问题</abilityName>
      <candidateList>
        <item>“</item>
      </candidateList>
      <explain>文本全半角错误。</explain>
      <paraID> E1E24B0</paraID>
      <start>109</start>
      <end>110</end>
      <status>modified</status>
      <modifiedWord>“</modifiedWord>
      <trackRevisions>false</trackRevisions>
    </reviewItem>
    <reviewItem>
      <errorID>5fb062ba-c152-4503-95e3-13f62c035641</errorID>
      <errorWord>"</errorWord>
      <group>L1_Format</group>
      <groupName>格式问题</groupName>
      <ability>L2_HalfPunc_CN</ability>
      <abilityName>全半角问题</abilityName>
      <candidateList>
        <item>”</item>
      </candidateList>
      <explain>文本全半角错误。</explain>
      <paraID> E1E24B0</paraID>
      <start>113</start>
      <end>114</end>
      <status>modified</status>
      <modifiedWord>”</modifiedWord>
      <trackRevisions>false</trackRevisions>
    </reviewItem>
    <reviewItem>
      <errorID>58dae6d6-a0f8-45f1-b0a1-04c55fc4e3ec</errorID>
      <errorWord>"三不腐"</errorWord>
      <group>L1_Political</group>
      <groupName>政治性问题</groupName>
      <ability>L2_Keyword</ability>
      <abilityName>固定表述</abilityName>
      <candidateList>
        <item>“三不腐”</item>
      </candidateList>
      <explain>注意检查当前固定表述标点是否使用规范。</explain>
      <paraID> E1E24B0</paraID>
      <start>134</start>
      <end>139</end>
      <status>modified</status>
      <modifiedWord>“三不腐”</modifiedWord>
      <trackRevisions>false</trackRevisions>
    </reviewItem>
    <reviewItem>
      <errorID>312defe6-3604-41ba-9459-30b4c69ccd17</errorID>
      <errorWord>"</errorWord>
      <group>L1_Format</group>
      <groupName>格式问题</groupName>
      <ability>L2_HalfPunc_CN</ability>
      <abilityName>全半角问题</abilityName>
      <candidateList>
        <item>“</item>
      </candidateList>
      <explain>文本全半角错误。</explain>
      <paraID>500BA04A</paraID>
      <start>11</start>
      <end>12</end>
      <status>modified</status>
      <modifiedWord>“</modifiedWord>
      <trackRevisions>false</trackRevisions>
    </reviewItem>
    <reviewItem>
      <errorID>f94132b6-dcc4-48c2-ba3e-5e14544087d2</errorID>
      <errorWord>"</errorWord>
      <group>L1_Format</group>
      <groupName>格式问题</groupName>
      <ability>L2_HalfPunc_CN</ability>
      <abilityName>全半角问题</abilityName>
      <candidateList>
        <item>”</item>
      </candidateList>
      <explain>文本全半角错误。</explain>
      <paraID>500BA04A</paraID>
      <start>56</start>
      <end>57</end>
      <status>modified</status>
      <modifiedWord>”</modifiedWord>
      <trackRevisions>false</trackRevisions>
    </reviewItem>
    <reviewItem>
      <errorID>0d6f64da-8dd9-4b54-ab91-b78bfcbf7628</errorID>
      <errorWord>"</errorWord>
      <group>L1_Format</group>
      <groupName>格式问题</groupName>
      <ability>L2_HalfPunc_CN</ability>
      <abilityName>全半角问题</abilityName>
      <candidateList>
        <item>“</item>
      </candidateList>
      <explain>文本全半角错误。</explain>
      <paraID>7D007F05</paraID>
      <start>86</start>
      <end>87</end>
      <status>modified</status>
      <modifiedWord>“</modifiedWord>
      <trackRevisions>false</trackRevisions>
    </reviewItem>
    <reviewItem>
      <errorID>1421f34b-fa13-44e3-a05e-d0e54aed84b9</errorID>
      <errorWord>"</errorWord>
      <group>L1_Format</group>
      <groupName>格式问题</groupName>
      <ability>L2_HalfPunc_CN</ability>
      <abilityName>全半角问题</abilityName>
      <candidateList>
        <item>”</item>
      </candidateList>
      <explain>文本全半角错误。</explain>
      <paraID>7D007F05</paraID>
      <start>96</start>
      <end>97</end>
      <status>modified</status>
      <modifiedWord>”</modifiedWord>
      <trackRevisions>false</trackRevisions>
    </reviewItem>
    <reviewItem>
      <errorID>e964431a-9600-4b8e-b6eb-f2c62cfb2e0f</errorID>
      <errorWord>"</errorWord>
      <group>L1_Format</group>
      <groupName>格式问题</groupName>
      <ability>L2_HalfPunc_CN</ability>
      <abilityName>全半角问题</abilityName>
      <candidateList>
        <item>“</item>
      </candidateList>
      <explain>文本全半角错误。</explain>
      <paraID>7D007F05</paraID>
      <start>153</start>
      <end>154</end>
      <status>modified</status>
      <modifiedWord>“</modifiedWord>
      <trackRevisions>false</trackRevisions>
    </reviewItem>
    <reviewItem>
      <errorID>5d8c3e8a-3451-421d-904c-cab0dccd34de</errorID>
      <errorWord>"</errorWord>
      <group>L1_Format</group>
      <groupName>格式问题</groupName>
      <ability>L2_HalfPunc_CN</ability>
      <abilityName>全半角问题</abilityName>
      <candidateList>
        <item>”</item>
      </candidateList>
      <explain>文本全半角错误。</explain>
      <paraID>7D007F05</paraID>
      <start>165</start>
      <end>166</end>
      <status>modified</status>
      <modifiedWord>”</modifiedWord>
      <trackRevisions>false</trackRevisions>
    </reviewItem>
    <reviewItem>
      <errorID>803838ec-bfbe-4244-b391-698311fdb6a9</errorID>
      <errorWord>"</errorWord>
      <group>L1_Format</group>
      <groupName>格式问题</groupName>
      <ability>L2_HalfPunc_CN</ability>
      <abilityName>全半角问题</abilityName>
      <candidateList>
        <item>“</item>
      </candidateList>
      <explain>文本全半角错误。</explain>
      <paraID>2542C9EC</paraID>
      <start>2</start>
      <end>3</end>
      <status>modified</status>
      <modifiedWord>“</modifiedWord>
      <trackRevisions>false</trackRevisions>
    </reviewItem>
    <reviewItem>
      <errorID>cf4d0b86-d85c-40dc-a482-79c100db2d77</errorID>
      <errorWord>"</errorWord>
      <group>L1_Format</group>
      <groupName>格式问题</groupName>
      <ability>L2_HalfPunc_CN</ability>
      <abilityName>全半角问题</abilityName>
      <candidateList>
        <item>”</item>
      </candidateList>
      <explain>文本全半角错误。</explain>
      <paraID>2542C9EC</paraID>
      <start>10</start>
      <end>11</end>
      <status>modified</status>
      <modifiedWord>”</modifiedWord>
      <trackRevisions>false</trackRevisions>
    </reviewItem>
    <reviewItem>
      <errorID>d6cadec3-20e5-4cf6-a345-a08a14eaee1f</errorID>
      <errorWord>"</errorWord>
      <group>L1_Format</group>
      <groupName>格式问题</groupName>
      <ability>L2_HalfPunc_CN</ability>
      <abilityName>全半角问题</abilityName>
      <candidateList>
        <item>“</item>
      </candidateList>
      <explain>文本全半角错误。</explain>
      <paraID>476CDB1B</paraID>
      <start>2</start>
      <end>3</end>
      <status>modified</status>
      <modifiedWord>“</modifiedWord>
      <trackRevisions>false</trackRevisions>
    </reviewItem>
    <reviewItem>
      <errorID>84d75cdc-7608-425a-b527-33bbb0fbd42d</errorID>
      <errorWord>"</errorWord>
      <group>L1_Format</group>
      <groupName>格式问题</groupName>
      <ability>L2_HalfPunc_CN</ability>
      <abilityName>全半角问题</abilityName>
      <candidateList>
        <item>”</item>
      </candidateList>
      <explain>文本全半角错误。</explain>
      <paraID>476CDB1B</paraID>
      <start>14</start>
      <end>15</end>
      <status>modified</status>
      <modifiedWord>”</modifiedWord>
      <trackRevisions>false</trackRevisions>
    </reviewItem>
    <reviewItem>
      <errorID>9b2164b1-3ce2-40be-b09c-6b373c9fb53c</errorID>
      <errorWord>"十五五"期间</errorWord>
      <group>L1_Political</group>
      <groupName>政治性问题</groupName>
      <ability>L2_Keyword</ability>
      <abilityName>固定表述</abilityName>
      <candidateList>
        <item>“十五五”期间</item>
      </candidateList>
      <explain>注意检查当前固定表述标点是否使用规范。</explain>
      <paraID>476CDB1B</paraID>
      <start>21</start>
      <end>28</end>
      <status>modified</status>
      <modifiedWord>“十五五”期间</modifiedWord>
      <trackRevisions>false</trackRevisions>
    </reviewItem>
    <reviewItem>
      <errorID>370ed243-5dbf-466a-a7df-9f356de9dd00</errorID>
      <errorWord>"</errorWord>
      <group>L1_Format</group>
      <groupName>格式问题</groupName>
      <ability>L2_HalfPunc_CN</ability>
      <abilityName>全半角问题</abilityName>
      <candidateList>
        <item>“</item>
      </candidateList>
      <explain>文本全半角错误。</explain>
      <paraID>476CDB1B</paraID>
      <start>132</start>
      <end>133</end>
      <status>modified</status>
      <modifiedWord>“</modifiedWord>
      <trackRevisions>false</trackRevisions>
    </reviewItem>
    <reviewItem>
      <errorID>aaa48858-2912-4dc8-b255-130660b6cef9</errorID>
      <errorWord>"</errorWord>
      <group>L1_Format</group>
      <groupName>格式问题</groupName>
      <ability>L2_HalfPunc_CN</ability>
      <abilityName>全半角问题</abilityName>
      <candidateList>
        <item>”</item>
      </candidateList>
      <explain>文本全半角错误。</explain>
      <paraID>476CDB1B</paraID>
      <start>147</start>
      <end>148</end>
      <status>modified</status>
      <modifiedWord>”</modifiedWord>
      <trackRevisions>false</trackRevisions>
    </reviewItem>
    <reviewItem>
      <errorID>0f16d5a0-0029-4759-bc34-9f684d3727dd</errorID>
      <errorWord>"</errorWord>
      <group>L1_Format</group>
      <groupName>格式问题</groupName>
      <ability>L2_HalfPunc_CN</ability>
      <abilityName>全半角问题</abilityName>
      <candidateList>
        <item>“</item>
      </candidateList>
      <explain>文本全半角错误。</explain>
      <paraID>3671ECE4</paraID>
      <start>96</start>
      <end>97</end>
      <status>modified</status>
      <modifiedWord>“</modifiedWord>
      <trackRevisions>false</trackRevisions>
    </reviewItem>
    <reviewItem>
      <errorID>130cc55a-83c0-4115-81d9-08ee88750e45</errorID>
      <errorWord>"</errorWord>
      <group>L1_Format</group>
      <groupName>格式问题</groupName>
      <ability>L2_HalfPunc_CN</ability>
      <abilityName>全半角问题</abilityName>
      <candidateList>
        <item>”</item>
      </candidateList>
      <explain>文本全半角错误。</explain>
      <paraID>3671ECE4</paraID>
      <start>111</start>
      <end>112</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0408b3-db5c-43dd-9c5f-f0f41d558dcc}">
  <ds:schemaRefs/>
</ds:datastoreItem>
</file>

<file path=docProps/app.xml><?xml version="1.0" encoding="utf-8"?>
<Properties xmlns="http://schemas.openxmlformats.org/officeDocument/2006/extended-properties" xmlns:vt="http://schemas.openxmlformats.org/officeDocument/2006/docPropsVTypes">
  <Template>Normal.dotm</Template>
  <Pages>75</Pages>
  <Words>49</Words>
  <Characters>52</Characters>
  <Lines>0</Lines>
  <Paragraphs>0</Paragraphs>
  <TotalTime>28</TotalTime>
  <ScaleCrop>false</ScaleCrop>
  <LinksUpToDate>false</LinksUpToDate>
  <CharactersWithSpaces>54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2025-12-11T09:12:00Z</dcterms:created>
  <dc:creator>Administrator</dc:creator>
  <cp:lastModifiedBy>兴趣使然</cp:lastModifiedBy>
  <cp:lastPrinted>2026-07-21T03:26:00Z</cp:lastPrinted>
  <dcterms:modified xsi:type="dcterms:W3CDTF">2026-09-04T08:06:38Z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eyJoZGlkIjoiNDdkZWQ0OGFkY2QyNDFhMDQyM2JkODM2MDI0MzFhY2YiLCJ1c2VySWQiOiI0MzIyNDEyNTcifQ==</vt:lpwstr>
  </property>
  <property fmtid="{D5CDD505-2E9C-101B-9397-08002B2CF9AE}" pid="4" name="ICV">
    <vt:lpwstr>0E2DDC73388D43D885B92127105ED777_13</vt:lpwstr>
  </property>
</Properties>
</file>